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91" w:rsidRDefault="00362091" w:rsidP="00362091">
      <w:pPr>
        <w:pStyle w:val="Heading1"/>
      </w:pPr>
      <w:r>
        <w:t>Day 3</w:t>
      </w:r>
    </w:p>
    <w:p w:rsidR="006D2818" w:rsidRPr="00F02371" w:rsidRDefault="00391587" w:rsidP="00362091">
      <w:pPr>
        <w:pStyle w:val="Heading2"/>
      </w:pPr>
      <w:r w:rsidRPr="00391587">
        <w:rPr>
          <w:noProof/>
          <w:lang w:eastAsia="zh-TW"/>
        </w:rPr>
        <w:pict>
          <v:shapetype id="_x0000_t202" coordsize="21600,21600" o:spt="202" path="m,l,21600r21600,l21600,xe">
            <v:stroke joinstyle="miter"/>
            <v:path gradientshapeok="t" o:connecttype="rect"/>
          </v:shapetype>
          <v:shape id="_x0000_s1090" type="#_x0000_t202" style="position:absolute;margin-left:318.2pt;margin-top:10.1pt;width:121.25pt;height:23.4pt;z-index:251672064;mso-width-relative:margin;mso-height-relative:margin">
            <v:textbox>
              <w:txbxContent>
                <w:p w:rsidR="007E01E8" w:rsidRDefault="006B58C3" w:rsidP="00287E5C">
                  <w:pPr>
                    <w:jc w:val="center"/>
                  </w:pPr>
                  <w:r>
                    <w:t>Handbook: Page 115</w:t>
                  </w:r>
                </w:p>
              </w:txbxContent>
            </v:textbox>
          </v:shape>
        </w:pict>
      </w:r>
      <w:r w:rsidR="00874916" w:rsidRPr="00F02371">
        <w:t>Module 11</w:t>
      </w:r>
      <w:r w:rsidR="006D2818" w:rsidRPr="00F02371">
        <w:t>: Authority Work</w:t>
      </w:r>
    </w:p>
    <w:p w:rsidR="000963E2" w:rsidRPr="00F02371" w:rsidRDefault="000E7DAA" w:rsidP="000963E2">
      <w:pPr>
        <w:rPr>
          <w:lang w:eastAsia="zh-TW"/>
        </w:rPr>
      </w:pPr>
      <w:r>
        <w:rPr>
          <w:noProof/>
          <w:lang w:val="en-US" w:eastAsia="zh-CN" w:bidi="th-TH"/>
        </w:rPr>
        <w:drawing>
          <wp:anchor distT="0" distB="0" distL="114300" distR="114300" simplePos="0" relativeHeight="251653632" behindDoc="0" locked="0" layoutInCell="1" allowOverlap="1">
            <wp:simplePos x="0" y="0"/>
            <wp:positionH relativeFrom="column">
              <wp:posOffset>4030345</wp:posOffset>
            </wp:positionH>
            <wp:positionV relativeFrom="paragraph">
              <wp:posOffset>186055</wp:posOffset>
            </wp:positionV>
            <wp:extent cx="1614805" cy="1193800"/>
            <wp:effectExtent l="19050" t="19050" r="23495" b="25400"/>
            <wp:wrapSquare wrapText="bothSides"/>
            <wp:docPr id="38" name="Picture 38"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yBitmap"/>
                    <pic:cNvPicPr>
                      <a:picLocks noChangeAspect="1" noChangeArrowheads="1"/>
                    </pic:cNvPicPr>
                  </pic:nvPicPr>
                  <pic:blipFill>
                    <a:blip r:embed="rId7" cstate="print"/>
                    <a:srcRect/>
                    <a:stretch>
                      <a:fillRect/>
                    </a:stretch>
                  </pic:blipFill>
                  <pic:spPr bwMode="auto">
                    <a:xfrm>
                      <a:off x="0" y="0"/>
                      <a:ext cx="1614805" cy="1193800"/>
                    </a:xfrm>
                    <a:prstGeom prst="rect">
                      <a:avLst/>
                    </a:prstGeom>
                    <a:noFill/>
                    <a:ln w="12700">
                      <a:solidFill>
                        <a:srgbClr val="000000"/>
                      </a:solidFill>
                      <a:miter lim="800000"/>
                      <a:headEnd/>
                      <a:tailEnd/>
                    </a:ln>
                  </pic:spPr>
                </pic:pic>
              </a:graphicData>
            </a:graphic>
          </wp:anchor>
        </w:drawing>
      </w:r>
      <w:r w:rsidR="000963E2" w:rsidRPr="00F02371">
        <w:rPr>
          <w:lang w:eastAsia="zh-TW"/>
        </w:rPr>
        <w:t>We looked in detail yesterday at recording information for works and expressions, and persons, families and corporate bodies, and constructing access points.  Much of that information will be contained in authority records.</w:t>
      </w:r>
      <w:r w:rsidR="00362091" w:rsidRPr="00362091">
        <w:t xml:space="preserve"> </w:t>
      </w:r>
    </w:p>
    <w:p w:rsidR="003334C9" w:rsidRPr="00F02371" w:rsidRDefault="00391587" w:rsidP="00124278">
      <w:pPr>
        <w:rPr>
          <w:lang w:eastAsia="zh-TW"/>
        </w:rPr>
      </w:pPr>
      <w:r w:rsidRPr="00391587">
        <w:rPr>
          <w:b/>
          <w:bCs/>
          <w:i/>
          <w:iCs/>
          <w:noProof/>
          <w:lang w:eastAsia="zh-CN" w:bidi="th-TH"/>
        </w:rPr>
        <w:pict>
          <v:shapetype id="_x0000_t32" coordsize="21600,21600" o:spt="32" o:oned="t" path="m,l21600,21600e" filled="f">
            <v:path arrowok="t" fillok="f" o:connecttype="none"/>
            <o:lock v:ext="edit" shapetype="t"/>
          </v:shapetype>
          <v:shape id="_x0000_s1026" type="#_x0000_t32" style="position:absolute;margin-left:5.9pt;margin-top:69.6pt;width:431pt;height:0;z-index:251637248" o:connectortype="straight" strokecolor="#7030a0" strokeweight="3pt"/>
        </w:pict>
      </w:r>
      <w:r w:rsidR="000963E2" w:rsidRPr="00F02371">
        <w:rPr>
          <w:lang w:eastAsia="zh-TW"/>
        </w:rPr>
        <w:t>In this module, rather than revisiting all of that, we are just going to take a look at the impact of RDA on the “authority work” aspect of our cataloguing.  Some of the information here I have already talked about in previous modules, but it’s useful to say it again in this context.</w:t>
      </w:r>
    </w:p>
    <w:p w:rsidR="000963E2" w:rsidRPr="00F02371" w:rsidRDefault="000963E2" w:rsidP="00B50E10">
      <w:pPr>
        <w:pStyle w:val="Heading3"/>
        <w:rPr>
          <w:rFonts w:eastAsia="PMingLiU"/>
          <w:lang w:eastAsia="zh-TW"/>
        </w:rPr>
      </w:pPr>
      <w:r w:rsidRPr="00F02371">
        <w:rPr>
          <w:rFonts w:eastAsia="PMingLiU"/>
          <w:lang w:eastAsia="zh-TW"/>
        </w:rPr>
        <w:t>How much authority work and when</w:t>
      </w:r>
    </w:p>
    <w:p w:rsidR="003334C9" w:rsidRPr="00F02371" w:rsidRDefault="007E01E8" w:rsidP="00400C3F">
      <w:pPr>
        <w:rPr>
          <w:lang w:eastAsia="zh-TW"/>
        </w:rPr>
      </w:pPr>
      <w:r>
        <w:rPr>
          <w:noProof/>
          <w:lang w:val="en-US" w:eastAsia="zh-CN" w:bidi="th-TH"/>
        </w:rPr>
        <w:drawing>
          <wp:anchor distT="0" distB="0" distL="114300" distR="114300" simplePos="0" relativeHeight="251654656" behindDoc="0" locked="0" layoutInCell="1" allowOverlap="1">
            <wp:simplePos x="0" y="0"/>
            <wp:positionH relativeFrom="column">
              <wp:posOffset>4027805</wp:posOffset>
            </wp:positionH>
            <wp:positionV relativeFrom="paragraph">
              <wp:posOffset>42545</wp:posOffset>
            </wp:positionV>
            <wp:extent cx="1617345" cy="1196340"/>
            <wp:effectExtent l="19050" t="19050" r="20955" b="22860"/>
            <wp:wrapSquare wrapText="bothSides"/>
            <wp:docPr id="39" name="Picture 39"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yBitmap"/>
                    <pic:cNvPicPr>
                      <a:picLocks noChangeAspect="1" noChangeArrowheads="1"/>
                    </pic:cNvPicPr>
                  </pic:nvPicPr>
                  <pic:blipFill>
                    <a:blip r:embed="rId8" cstate="print"/>
                    <a:srcRect/>
                    <a:stretch>
                      <a:fillRect/>
                    </a:stretch>
                  </pic:blipFill>
                  <pic:spPr bwMode="auto">
                    <a:xfrm>
                      <a:off x="0" y="0"/>
                      <a:ext cx="1617345" cy="1196340"/>
                    </a:xfrm>
                    <a:prstGeom prst="rect">
                      <a:avLst/>
                    </a:prstGeom>
                    <a:noFill/>
                    <a:ln w="12700">
                      <a:solidFill>
                        <a:srgbClr val="000000"/>
                      </a:solidFill>
                      <a:miter lim="800000"/>
                      <a:headEnd/>
                      <a:tailEnd/>
                    </a:ln>
                  </pic:spPr>
                </pic:pic>
              </a:graphicData>
            </a:graphic>
          </wp:anchor>
        </w:drawing>
      </w:r>
      <w:r w:rsidR="00F41AE1" w:rsidRPr="00F02371">
        <w:rPr>
          <w:lang w:eastAsia="zh-TW"/>
        </w:rPr>
        <w:t xml:space="preserve">A change of cataloguing standard necessarily means that libraries will have to review their internal policies on cataloguing and authority control.  As we have already seen RDA includes instructions on data that we record in authority records to a greater extent than AACR2. </w:t>
      </w:r>
    </w:p>
    <w:p w:rsidR="00F41AE1" w:rsidRPr="00F02371" w:rsidRDefault="00F41AE1" w:rsidP="00400C3F">
      <w:pPr>
        <w:rPr>
          <w:lang w:eastAsia="zh-TW"/>
        </w:rPr>
      </w:pPr>
      <w:r w:rsidRPr="00F02371">
        <w:rPr>
          <w:lang w:eastAsia="zh-TW"/>
        </w:rPr>
        <w:t>This will mean that libraries need to make some policy decisions about authority work.</w:t>
      </w:r>
    </w:p>
    <w:p w:rsidR="003334C9" w:rsidRPr="00F02371" w:rsidRDefault="00391587" w:rsidP="00400C3F">
      <w:pPr>
        <w:pStyle w:val="Heading3"/>
      </w:pPr>
      <w:r>
        <w:rPr>
          <w:noProof/>
          <w:lang w:val="en-US" w:eastAsia="zh-CN" w:bidi="th-TH"/>
        </w:rPr>
        <w:pict>
          <v:shape id="_x0000_s1064" type="#_x0000_t32" style="position:absolute;margin-left:5.9pt;margin-top:13.1pt;width:431pt;height:0;z-index:251655680" o:connectortype="straight" strokecolor="#7030a0" strokeweight="3pt"/>
        </w:pict>
      </w:r>
    </w:p>
    <w:p w:rsidR="006D2818" w:rsidRPr="00F02371" w:rsidRDefault="006D2818" w:rsidP="007E01E8">
      <w:pPr>
        <w:pStyle w:val="Heading4"/>
        <w:rPr>
          <w:rFonts w:eastAsia="PMingLiU"/>
          <w:lang w:eastAsia="zh-TW"/>
        </w:rPr>
      </w:pPr>
      <w:r w:rsidRPr="00F02371">
        <w:t>Part of authorised access point, or elsewhere in authority record</w:t>
      </w:r>
    </w:p>
    <w:p w:rsidR="00F41AE1" w:rsidRPr="00F02371" w:rsidRDefault="00F41AE1" w:rsidP="00400C3F">
      <w:pPr>
        <w:rPr>
          <w:lang w:eastAsia="zh-TW"/>
        </w:rPr>
      </w:pPr>
      <w:r w:rsidRPr="00F02371">
        <w:rPr>
          <w:lang w:eastAsia="zh-TW"/>
        </w:rPr>
        <w:t>Yesterday we looked at the chapters</w:t>
      </w:r>
      <w:r w:rsidR="00F308EA" w:rsidRPr="00F02371">
        <w:rPr>
          <w:lang w:eastAsia="zh-TW"/>
        </w:rPr>
        <w:t xml:space="preserve"> (6 - 11)</w:t>
      </w:r>
      <w:r w:rsidRPr="00F02371">
        <w:rPr>
          <w:lang w:eastAsia="zh-TW"/>
        </w:rPr>
        <w:t xml:space="preserve"> on recording the attributes of works and expressions, and persons, families and corporate bodies.  In these chapters, the attributes (or “elements”) are recorded either</w:t>
      </w:r>
      <w:r w:rsidR="003334C9" w:rsidRPr="00F02371">
        <w:rPr>
          <w:lang w:eastAsia="zh-TW"/>
        </w:rPr>
        <w:t>:</w:t>
      </w:r>
    </w:p>
    <w:p w:rsidR="00F41AE1" w:rsidRPr="00F02371" w:rsidRDefault="00F41AE1" w:rsidP="00400C3F">
      <w:pPr>
        <w:numPr>
          <w:ilvl w:val="0"/>
          <w:numId w:val="5"/>
        </w:numPr>
        <w:rPr>
          <w:lang w:eastAsia="zh-TW"/>
        </w:rPr>
      </w:pPr>
      <w:r w:rsidRPr="00F02371">
        <w:rPr>
          <w:lang w:eastAsia="zh-TW"/>
        </w:rPr>
        <w:t xml:space="preserve">as part of the access point, or </w:t>
      </w:r>
    </w:p>
    <w:p w:rsidR="00F41AE1" w:rsidRPr="00F02371" w:rsidRDefault="00F41AE1" w:rsidP="00400C3F">
      <w:pPr>
        <w:numPr>
          <w:ilvl w:val="0"/>
          <w:numId w:val="5"/>
        </w:numPr>
        <w:rPr>
          <w:lang w:eastAsia="zh-TW"/>
        </w:rPr>
      </w:pPr>
      <w:r w:rsidRPr="00F02371">
        <w:rPr>
          <w:lang w:eastAsia="zh-TW"/>
        </w:rPr>
        <w:t>as “separate elements” (</w:t>
      </w:r>
      <w:proofErr w:type="spellStart"/>
      <w:r w:rsidRPr="00F02371">
        <w:rPr>
          <w:lang w:eastAsia="zh-TW"/>
        </w:rPr>
        <w:t>ie</w:t>
      </w:r>
      <w:proofErr w:type="spellEnd"/>
      <w:r w:rsidRPr="00F02371">
        <w:rPr>
          <w:lang w:eastAsia="zh-TW"/>
        </w:rPr>
        <w:t xml:space="preserve"> elsewhere in the authority record), or</w:t>
      </w:r>
    </w:p>
    <w:p w:rsidR="00F308EA" w:rsidRDefault="00F41AE1" w:rsidP="00400C3F">
      <w:pPr>
        <w:numPr>
          <w:ilvl w:val="0"/>
          <w:numId w:val="5"/>
        </w:numPr>
        <w:rPr>
          <w:lang w:eastAsia="zh-TW"/>
        </w:rPr>
      </w:pPr>
      <w:r w:rsidRPr="00F02371">
        <w:rPr>
          <w:lang w:eastAsia="zh-TW"/>
        </w:rPr>
        <w:t xml:space="preserve">In </w:t>
      </w:r>
      <w:r w:rsidRPr="00F02371">
        <w:rPr>
          <w:i/>
          <w:iCs/>
          <w:lang w:eastAsia="zh-TW"/>
        </w:rPr>
        <w:t xml:space="preserve">both </w:t>
      </w:r>
      <w:r w:rsidRPr="00F02371">
        <w:rPr>
          <w:lang w:eastAsia="zh-TW"/>
        </w:rPr>
        <w:t xml:space="preserve">the access point </w:t>
      </w:r>
      <w:r w:rsidRPr="00F02371">
        <w:rPr>
          <w:i/>
          <w:iCs/>
          <w:lang w:eastAsia="zh-TW"/>
        </w:rPr>
        <w:t xml:space="preserve">and </w:t>
      </w:r>
      <w:r w:rsidRPr="00F02371">
        <w:rPr>
          <w:lang w:eastAsia="zh-TW"/>
        </w:rPr>
        <w:t xml:space="preserve">as separate elements. </w:t>
      </w:r>
    </w:p>
    <w:p w:rsidR="003623FF" w:rsidRPr="003623FF" w:rsidRDefault="003623FF" w:rsidP="003623FF">
      <w:pPr>
        <w:rPr>
          <w:lang w:eastAsia="zh-TW"/>
        </w:rPr>
      </w:pPr>
      <w:r>
        <w:rPr>
          <w:lang w:eastAsia="zh-TW"/>
        </w:rPr>
        <w:t xml:space="preserve">Some useful elements can </w:t>
      </w:r>
      <w:r>
        <w:rPr>
          <w:i/>
          <w:iCs/>
          <w:lang w:eastAsia="zh-TW"/>
        </w:rPr>
        <w:t xml:space="preserve">only </w:t>
      </w:r>
      <w:r>
        <w:rPr>
          <w:lang w:eastAsia="zh-TW"/>
        </w:rPr>
        <w:t>be recorded in the authority record.</w:t>
      </w:r>
    </w:p>
    <w:p w:rsidR="00F308EA" w:rsidRPr="00F02371" w:rsidRDefault="00391587" w:rsidP="00124278">
      <w:pPr>
        <w:rPr>
          <w:lang w:eastAsia="zh-TW"/>
        </w:rPr>
      </w:pPr>
      <w:r w:rsidRPr="00391587">
        <w:rPr>
          <w:noProof/>
          <w:lang w:eastAsia="zh-CN" w:bidi="th-TH"/>
        </w:rPr>
        <w:pict>
          <v:shape id="_x0000_s1029" type="#_x0000_t32" style="position:absolute;margin-left:8.45pt;margin-top:74.05pt;width:431pt;height:0;z-index:251638272" o:connectortype="straight" strokecolor="#7030a0" strokeweight="3pt"/>
        </w:pict>
      </w:r>
      <w:r w:rsidR="00400C3F" w:rsidRPr="00F02371">
        <w:rPr>
          <w:lang w:eastAsia="zh-TW"/>
        </w:rPr>
        <w:t xml:space="preserve">Where elements can be recorded as part of access points, but do not need to be, libraries need to make decisions on whether they record this information in the access point or the authority record itself.  This has always been the case of course, but </w:t>
      </w:r>
      <w:r w:rsidR="00702DF8" w:rsidRPr="00F02371">
        <w:rPr>
          <w:lang w:eastAsia="zh-TW"/>
        </w:rPr>
        <w:t>RDA both offers more elements to be recorded than we have had in the past, and is less prescriptive about how and when they are used.</w:t>
      </w:r>
    </w:p>
    <w:p w:rsidR="007E01E8" w:rsidRDefault="007E01E8" w:rsidP="00400C3F">
      <w:pPr>
        <w:pStyle w:val="Heading3"/>
        <w:rPr>
          <w:rFonts w:eastAsia="PMingLiU"/>
          <w:lang w:eastAsia="zh-TW"/>
        </w:rPr>
      </w:pPr>
    </w:p>
    <w:p w:rsidR="00400C3F" w:rsidRPr="00F02371" w:rsidRDefault="00400C3F" w:rsidP="007E01E8">
      <w:pPr>
        <w:pStyle w:val="Heading4"/>
        <w:rPr>
          <w:rFonts w:eastAsia="PMingLiU"/>
          <w:lang w:eastAsia="zh-TW"/>
        </w:rPr>
      </w:pPr>
      <w:r w:rsidRPr="00F02371">
        <w:rPr>
          <w:rFonts w:eastAsia="PMingLiU"/>
          <w:lang w:eastAsia="zh-TW"/>
        </w:rPr>
        <w:lastRenderedPageBreak/>
        <w:t>Core elements</w:t>
      </w:r>
    </w:p>
    <w:p w:rsidR="00F41AE1" w:rsidRPr="00F02371" w:rsidRDefault="007E01E8" w:rsidP="00400C3F">
      <w:pPr>
        <w:rPr>
          <w:lang w:eastAsia="zh-TW"/>
        </w:rPr>
      </w:pPr>
      <w:r>
        <w:rPr>
          <w:noProof/>
          <w:lang w:val="en-US" w:eastAsia="zh-CN" w:bidi="th-TH"/>
        </w:rPr>
        <w:drawing>
          <wp:anchor distT="0" distB="0" distL="114300" distR="114300" simplePos="0" relativeHeight="251656704" behindDoc="0" locked="0" layoutInCell="1" allowOverlap="1">
            <wp:simplePos x="0" y="0"/>
            <wp:positionH relativeFrom="column">
              <wp:posOffset>3850640</wp:posOffset>
            </wp:positionH>
            <wp:positionV relativeFrom="paragraph">
              <wp:posOffset>22860</wp:posOffset>
            </wp:positionV>
            <wp:extent cx="1614805" cy="1204595"/>
            <wp:effectExtent l="19050" t="19050" r="23495" b="14605"/>
            <wp:wrapSquare wrapText="bothSides"/>
            <wp:docPr id="44" name="Picture 44"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yBitmap"/>
                    <pic:cNvPicPr>
                      <a:picLocks noChangeAspect="1" noChangeArrowheads="1"/>
                    </pic:cNvPicPr>
                  </pic:nvPicPr>
                  <pic:blipFill>
                    <a:blip r:embed="rId9" cstate="print"/>
                    <a:srcRect/>
                    <a:stretch>
                      <a:fillRect/>
                    </a:stretch>
                  </pic:blipFill>
                  <pic:spPr bwMode="auto">
                    <a:xfrm>
                      <a:off x="0" y="0"/>
                      <a:ext cx="1614805" cy="1204595"/>
                    </a:xfrm>
                    <a:prstGeom prst="rect">
                      <a:avLst/>
                    </a:prstGeom>
                    <a:noFill/>
                    <a:ln w="12700">
                      <a:solidFill>
                        <a:srgbClr val="000000"/>
                      </a:solidFill>
                      <a:miter lim="800000"/>
                      <a:headEnd/>
                      <a:tailEnd/>
                    </a:ln>
                  </pic:spPr>
                </pic:pic>
              </a:graphicData>
            </a:graphic>
          </wp:anchor>
        </w:drawing>
      </w:r>
      <w:r w:rsidR="00702DF8" w:rsidRPr="00F02371">
        <w:rPr>
          <w:lang w:eastAsia="zh-TW"/>
        </w:rPr>
        <w:t xml:space="preserve">Another thing that will affect authority control policies is core elements for authority records. </w:t>
      </w:r>
      <w:r w:rsidR="00F41AE1" w:rsidRPr="00F02371">
        <w:rPr>
          <w:lang w:eastAsia="zh-TW"/>
        </w:rPr>
        <w:t>We learned</w:t>
      </w:r>
      <w:r w:rsidR="00702DF8" w:rsidRPr="00F02371">
        <w:rPr>
          <w:lang w:eastAsia="zh-TW"/>
        </w:rPr>
        <w:t xml:space="preserve"> yesterday</w:t>
      </w:r>
      <w:r w:rsidR="00F41AE1" w:rsidRPr="00F02371">
        <w:rPr>
          <w:lang w:eastAsia="zh-TW"/>
        </w:rPr>
        <w:t xml:space="preserve"> that some</w:t>
      </w:r>
      <w:r w:rsidR="00702DF8" w:rsidRPr="00F02371">
        <w:rPr>
          <w:lang w:eastAsia="zh-TW"/>
        </w:rPr>
        <w:t xml:space="preserve"> previously “optional” information is now core in RDA</w:t>
      </w:r>
      <w:r w:rsidR="00F41AE1" w:rsidRPr="00F02371">
        <w:rPr>
          <w:lang w:eastAsia="zh-TW"/>
        </w:rPr>
        <w:t>.  Most notably:</w:t>
      </w:r>
    </w:p>
    <w:p w:rsidR="00F41AE1" w:rsidRPr="00F02371" w:rsidRDefault="00F41AE1" w:rsidP="00400C3F">
      <w:pPr>
        <w:numPr>
          <w:ilvl w:val="0"/>
          <w:numId w:val="5"/>
        </w:numPr>
        <w:rPr>
          <w:lang w:eastAsia="zh-TW"/>
        </w:rPr>
      </w:pPr>
      <w:r w:rsidRPr="00F02371">
        <w:rPr>
          <w:lang w:eastAsia="zh-TW"/>
        </w:rPr>
        <w:t>Title of person</w:t>
      </w:r>
      <w:r w:rsidR="00702DF8" w:rsidRPr="00F02371">
        <w:rPr>
          <w:lang w:eastAsia="zh-TW"/>
        </w:rPr>
        <w:t xml:space="preserve"> (in both the authority record and the access point)</w:t>
      </w:r>
    </w:p>
    <w:p w:rsidR="00F41AE1" w:rsidRPr="00F02371" w:rsidRDefault="009F58CD" w:rsidP="00400C3F">
      <w:pPr>
        <w:numPr>
          <w:ilvl w:val="0"/>
          <w:numId w:val="5"/>
        </w:numPr>
        <w:rPr>
          <w:lang w:eastAsia="zh-TW"/>
        </w:rPr>
      </w:pPr>
      <w:r w:rsidRPr="00F02371">
        <w:rPr>
          <w:lang w:eastAsia="zh-TW"/>
        </w:rPr>
        <w:t>Date of birth and death</w:t>
      </w:r>
      <w:r w:rsidR="00702DF8" w:rsidRPr="00F02371">
        <w:rPr>
          <w:lang w:eastAsia="zh-TW"/>
        </w:rPr>
        <w:t xml:space="preserve"> (in the authority record)</w:t>
      </w:r>
      <w:r w:rsidR="00124278" w:rsidRPr="00124278">
        <w:rPr>
          <w:noProof/>
        </w:rPr>
        <w:t xml:space="preserve"> </w:t>
      </w:r>
    </w:p>
    <w:p w:rsidR="00674CE9" w:rsidRPr="00F02371" w:rsidRDefault="00674CE9" w:rsidP="00702DF8">
      <w:pPr>
        <w:rPr>
          <w:lang w:eastAsia="zh-TW"/>
        </w:rPr>
      </w:pPr>
      <w:r w:rsidRPr="00F02371">
        <w:rPr>
          <w:lang w:eastAsia="zh-TW"/>
        </w:rPr>
        <w:t>There are also three meanings</w:t>
      </w:r>
      <w:r w:rsidRPr="00F02371">
        <w:rPr>
          <w:b/>
          <w:bCs/>
          <w:lang w:eastAsia="zh-TW"/>
        </w:rPr>
        <w:t xml:space="preserve"> </w:t>
      </w:r>
      <w:r w:rsidRPr="00F02371">
        <w:rPr>
          <w:lang w:eastAsia="zh-TW"/>
        </w:rPr>
        <w:t>of “Core” when it comes to authority data</w:t>
      </w:r>
    </w:p>
    <w:p w:rsidR="00674CE9" w:rsidRPr="00F02371" w:rsidRDefault="00674CE9" w:rsidP="00674CE9">
      <w:pPr>
        <w:numPr>
          <w:ilvl w:val="0"/>
          <w:numId w:val="7"/>
        </w:numPr>
        <w:spacing w:after="0"/>
        <w:ind w:left="714" w:hanging="357"/>
        <w:rPr>
          <w:lang w:eastAsia="zh-TW"/>
        </w:rPr>
      </w:pPr>
      <w:r w:rsidRPr="00F02371">
        <w:rPr>
          <w:lang w:eastAsia="zh-TW"/>
        </w:rPr>
        <w:t xml:space="preserve">Core to </w:t>
      </w:r>
      <w:r w:rsidRPr="00F02371">
        <w:rPr>
          <w:i/>
          <w:iCs/>
          <w:lang w:eastAsia="zh-TW"/>
        </w:rPr>
        <w:t>record</w:t>
      </w:r>
      <w:r w:rsidRPr="00F02371">
        <w:rPr>
          <w:lang w:eastAsia="zh-TW"/>
        </w:rPr>
        <w:t xml:space="preserve">  (Can be either in access point or elsewhere in authority record)</w:t>
      </w:r>
    </w:p>
    <w:p w:rsidR="00674CE9" w:rsidRPr="00F02371" w:rsidRDefault="00674CE9" w:rsidP="00674CE9">
      <w:pPr>
        <w:numPr>
          <w:ilvl w:val="1"/>
          <w:numId w:val="7"/>
        </w:numPr>
        <w:rPr>
          <w:lang w:eastAsia="zh-TW"/>
        </w:rPr>
      </w:pPr>
      <w:proofErr w:type="spellStart"/>
      <w:r w:rsidRPr="00F02371">
        <w:rPr>
          <w:i/>
          <w:iCs/>
          <w:lang w:eastAsia="zh-TW"/>
        </w:rPr>
        <w:t>Eg</w:t>
      </w:r>
      <w:proofErr w:type="spellEnd"/>
      <w:r w:rsidRPr="00F02371">
        <w:rPr>
          <w:i/>
          <w:iCs/>
          <w:lang w:eastAsia="zh-TW"/>
        </w:rPr>
        <w:t>. Dates of birth and death</w:t>
      </w:r>
    </w:p>
    <w:p w:rsidR="00674CE9" w:rsidRPr="00F02371" w:rsidRDefault="00674CE9" w:rsidP="00674CE9">
      <w:pPr>
        <w:numPr>
          <w:ilvl w:val="0"/>
          <w:numId w:val="7"/>
        </w:numPr>
        <w:spacing w:after="0"/>
        <w:ind w:left="714" w:hanging="357"/>
        <w:rPr>
          <w:lang w:eastAsia="zh-TW"/>
        </w:rPr>
      </w:pPr>
      <w:r w:rsidRPr="00F02371">
        <w:rPr>
          <w:lang w:eastAsia="zh-TW"/>
        </w:rPr>
        <w:t xml:space="preserve">“Core” in </w:t>
      </w:r>
      <w:r w:rsidRPr="00F02371">
        <w:rPr>
          <w:i/>
          <w:iCs/>
          <w:lang w:eastAsia="zh-TW"/>
        </w:rPr>
        <w:t xml:space="preserve">access point, </w:t>
      </w:r>
    </w:p>
    <w:p w:rsidR="00674CE9" w:rsidRPr="00F02371" w:rsidRDefault="00674CE9" w:rsidP="00674CE9">
      <w:pPr>
        <w:numPr>
          <w:ilvl w:val="1"/>
          <w:numId w:val="7"/>
        </w:numPr>
        <w:rPr>
          <w:lang w:eastAsia="zh-TW"/>
        </w:rPr>
      </w:pPr>
      <w:proofErr w:type="spellStart"/>
      <w:r w:rsidRPr="00F02371">
        <w:rPr>
          <w:i/>
          <w:iCs/>
          <w:lang w:eastAsia="zh-TW"/>
        </w:rPr>
        <w:t>Eg</w:t>
      </w:r>
      <w:proofErr w:type="spellEnd"/>
      <w:r w:rsidRPr="00F02371">
        <w:rPr>
          <w:i/>
          <w:iCs/>
          <w:lang w:eastAsia="zh-TW"/>
        </w:rPr>
        <w:t xml:space="preserve"> Title of person, Conference dates</w:t>
      </w:r>
    </w:p>
    <w:p w:rsidR="00674CE9" w:rsidRPr="00F02371" w:rsidRDefault="00674CE9" w:rsidP="00674CE9">
      <w:pPr>
        <w:numPr>
          <w:ilvl w:val="0"/>
          <w:numId w:val="7"/>
        </w:numPr>
        <w:spacing w:after="0"/>
        <w:ind w:left="714" w:hanging="357"/>
        <w:rPr>
          <w:lang w:eastAsia="zh-TW"/>
        </w:rPr>
      </w:pPr>
      <w:r w:rsidRPr="00F02371">
        <w:rPr>
          <w:lang w:eastAsia="zh-TW"/>
        </w:rPr>
        <w:t xml:space="preserve">Core </w:t>
      </w:r>
      <w:r w:rsidRPr="00F02371">
        <w:rPr>
          <w:i/>
          <w:iCs/>
          <w:lang w:eastAsia="zh-TW"/>
        </w:rPr>
        <w:t xml:space="preserve">only </w:t>
      </w:r>
      <w:r w:rsidRPr="00F02371">
        <w:rPr>
          <w:lang w:eastAsia="zh-TW"/>
        </w:rPr>
        <w:t>if needed to resolve conflict (in access point)</w:t>
      </w:r>
    </w:p>
    <w:p w:rsidR="00674CE9" w:rsidRPr="00F02371" w:rsidRDefault="00674CE9" w:rsidP="00674CE9">
      <w:pPr>
        <w:numPr>
          <w:ilvl w:val="0"/>
          <w:numId w:val="10"/>
        </w:numPr>
        <w:rPr>
          <w:lang w:eastAsia="zh-TW"/>
        </w:rPr>
      </w:pPr>
      <w:proofErr w:type="spellStart"/>
      <w:r w:rsidRPr="00F02371">
        <w:rPr>
          <w:i/>
          <w:iCs/>
          <w:lang w:eastAsia="zh-TW"/>
        </w:rPr>
        <w:t>Eg</w:t>
      </w:r>
      <w:proofErr w:type="spellEnd"/>
      <w:r w:rsidRPr="00F02371">
        <w:rPr>
          <w:i/>
          <w:iCs/>
          <w:lang w:eastAsia="zh-TW"/>
        </w:rPr>
        <w:t xml:space="preserve"> fuller form of name, Profession or occupation</w:t>
      </w:r>
    </w:p>
    <w:p w:rsidR="00F308EA" w:rsidRPr="00F02371" w:rsidRDefault="00391587" w:rsidP="00F308EA">
      <w:pPr>
        <w:ind w:left="1080"/>
        <w:rPr>
          <w:lang w:eastAsia="zh-TW"/>
        </w:rPr>
      </w:pPr>
      <w:r w:rsidRPr="00391587">
        <w:rPr>
          <w:noProof/>
          <w:lang w:eastAsia="zh-CN" w:bidi="th-TH"/>
        </w:rPr>
        <w:pict>
          <v:shape id="_x0000_s1032" type="#_x0000_t32" style="position:absolute;left:0;text-align:left;margin-left:2.7pt;margin-top:15.15pt;width:431pt;height:0;z-index:251639296" o:connectortype="straight" strokecolor="#7030a0" strokeweight="3pt"/>
        </w:pict>
      </w:r>
    </w:p>
    <w:p w:rsidR="00702DF8" w:rsidRPr="00F02371" w:rsidRDefault="000E7DAA" w:rsidP="00702DF8">
      <w:pPr>
        <w:rPr>
          <w:lang w:eastAsia="zh-TW"/>
        </w:rPr>
      </w:pPr>
      <w:r>
        <w:rPr>
          <w:noProof/>
          <w:lang w:val="en-US" w:eastAsia="zh-CN" w:bidi="th-TH"/>
        </w:rPr>
        <w:drawing>
          <wp:anchor distT="0" distB="0" distL="114300" distR="114300" simplePos="0" relativeHeight="251677184" behindDoc="0" locked="0" layoutInCell="1" allowOverlap="1">
            <wp:simplePos x="0" y="0"/>
            <wp:positionH relativeFrom="column">
              <wp:posOffset>3850640</wp:posOffset>
            </wp:positionH>
            <wp:positionV relativeFrom="paragraph">
              <wp:posOffset>81280</wp:posOffset>
            </wp:positionV>
            <wp:extent cx="1614805" cy="1195705"/>
            <wp:effectExtent l="19050" t="19050" r="23495" b="2349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srcRect/>
                    <a:stretch>
                      <a:fillRect/>
                    </a:stretch>
                  </pic:blipFill>
                  <pic:spPr bwMode="auto">
                    <a:xfrm>
                      <a:off x="0" y="0"/>
                      <a:ext cx="1614805" cy="1195705"/>
                    </a:xfrm>
                    <a:prstGeom prst="rect">
                      <a:avLst/>
                    </a:prstGeom>
                    <a:noFill/>
                    <a:ln w="12700">
                      <a:solidFill>
                        <a:srgbClr val="000000"/>
                      </a:solidFill>
                      <a:miter lim="800000"/>
                      <a:headEnd/>
                      <a:tailEnd/>
                    </a:ln>
                  </pic:spPr>
                </pic:pic>
              </a:graphicData>
            </a:graphic>
          </wp:anchor>
        </w:drawing>
      </w:r>
      <w:r w:rsidR="00674CE9" w:rsidRPr="00F02371">
        <w:rPr>
          <w:lang w:eastAsia="zh-TW"/>
        </w:rPr>
        <w:t xml:space="preserve">The core status of </w:t>
      </w:r>
      <w:r w:rsidR="00702DF8" w:rsidRPr="00F02371">
        <w:rPr>
          <w:lang w:eastAsia="zh-TW"/>
        </w:rPr>
        <w:t xml:space="preserve">dates </w:t>
      </w:r>
      <w:r w:rsidR="00674CE9" w:rsidRPr="00F02371">
        <w:rPr>
          <w:lang w:eastAsia="zh-TW"/>
        </w:rPr>
        <w:t>particularly</w:t>
      </w:r>
      <w:r w:rsidR="00702DF8" w:rsidRPr="00F02371">
        <w:rPr>
          <w:lang w:eastAsia="zh-TW"/>
        </w:rPr>
        <w:t xml:space="preserve"> has a</w:t>
      </w:r>
      <w:r w:rsidR="00674CE9" w:rsidRPr="00F02371">
        <w:rPr>
          <w:lang w:eastAsia="zh-TW"/>
        </w:rPr>
        <w:t>n</w:t>
      </w:r>
      <w:r w:rsidR="00702DF8" w:rsidRPr="00F02371">
        <w:rPr>
          <w:lang w:eastAsia="zh-TW"/>
        </w:rPr>
        <w:t xml:space="preserve"> impact on authority control policy because previously</w:t>
      </w:r>
      <w:proofErr w:type="gramStart"/>
      <w:r w:rsidR="00702DF8" w:rsidRPr="00F02371">
        <w:rPr>
          <w:lang w:eastAsia="zh-TW"/>
        </w:rPr>
        <w:t>,</w:t>
      </w:r>
      <w:r w:rsidR="003623FF" w:rsidRPr="003623FF">
        <w:rPr>
          <w:lang w:eastAsia="zh-TW"/>
        </w:rPr>
        <w:t xml:space="preserve"> </w:t>
      </w:r>
      <w:r w:rsidR="00702DF8" w:rsidRPr="00F02371">
        <w:rPr>
          <w:lang w:eastAsia="zh-TW"/>
        </w:rPr>
        <w:t xml:space="preserve"> dates</w:t>
      </w:r>
      <w:proofErr w:type="gramEnd"/>
      <w:r w:rsidR="00702DF8" w:rsidRPr="00F02371">
        <w:rPr>
          <w:lang w:eastAsia="zh-TW"/>
        </w:rPr>
        <w:t xml:space="preserve"> were only required when needed to resolve a conflict, or for conferences.  Now, all of the following dates are core requirements:</w:t>
      </w:r>
    </w:p>
    <w:p w:rsidR="00702DF8" w:rsidRDefault="00702DF8" w:rsidP="00702DF8">
      <w:pPr>
        <w:numPr>
          <w:ilvl w:val="0"/>
          <w:numId w:val="6"/>
        </w:numPr>
        <w:rPr>
          <w:lang w:eastAsia="zh-TW"/>
        </w:rPr>
      </w:pPr>
      <w:r w:rsidRPr="00F02371">
        <w:rPr>
          <w:lang w:eastAsia="zh-TW"/>
        </w:rPr>
        <w:t xml:space="preserve">birth and death dates for persons, </w:t>
      </w:r>
    </w:p>
    <w:p w:rsidR="003623FF" w:rsidRPr="00F02371" w:rsidRDefault="003623FF" w:rsidP="00702DF8">
      <w:pPr>
        <w:numPr>
          <w:ilvl w:val="0"/>
          <w:numId w:val="6"/>
        </w:numPr>
        <w:rPr>
          <w:lang w:eastAsia="zh-TW"/>
        </w:rPr>
      </w:pPr>
      <w:r>
        <w:rPr>
          <w:lang w:eastAsia="zh-TW"/>
        </w:rPr>
        <w:t>Dates associated with families (required in access point)</w:t>
      </w:r>
    </w:p>
    <w:p w:rsidR="00702DF8" w:rsidRPr="00F02371" w:rsidRDefault="00702DF8" w:rsidP="00702DF8">
      <w:pPr>
        <w:numPr>
          <w:ilvl w:val="0"/>
          <w:numId w:val="6"/>
        </w:numPr>
        <w:rPr>
          <w:lang w:eastAsia="zh-TW"/>
        </w:rPr>
      </w:pPr>
      <w:r w:rsidRPr="00F02371">
        <w:rPr>
          <w:lang w:eastAsia="zh-TW"/>
        </w:rPr>
        <w:t>establishment and termination dates for corporate bodies</w:t>
      </w:r>
    </w:p>
    <w:p w:rsidR="00F308EA" w:rsidRPr="00F02371" w:rsidRDefault="00702DF8" w:rsidP="00124278">
      <w:pPr>
        <w:numPr>
          <w:ilvl w:val="0"/>
          <w:numId w:val="6"/>
        </w:numPr>
        <w:rPr>
          <w:lang w:eastAsia="zh-TW"/>
        </w:rPr>
      </w:pPr>
      <w:r w:rsidRPr="00F02371">
        <w:rPr>
          <w:lang w:eastAsia="zh-TW"/>
        </w:rPr>
        <w:t>Conference dates (required in access point)</w:t>
      </w:r>
    </w:p>
    <w:p w:rsidR="003F0CF7" w:rsidRPr="00F02371" w:rsidRDefault="00702DF8" w:rsidP="00702DF8">
      <w:pPr>
        <w:rPr>
          <w:lang w:eastAsia="zh-TW"/>
        </w:rPr>
      </w:pPr>
      <w:r w:rsidRPr="00F02371">
        <w:rPr>
          <w:lang w:eastAsia="zh-TW"/>
        </w:rPr>
        <w:t xml:space="preserve">For those dates that are not required as part of the access point to resolve a conflict, decisions will need to be made about whether you will record them as separate element in the authority record, </w:t>
      </w:r>
      <w:r w:rsidR="00F75DD9" w:rsidRPr="00F02371">
        <w:rPr>
          <w:lang w:eastAsia="zh-TW"/>
        </w:rPr>
        <w:t>as part</w:t>
      </w:r>
      <w:r w:rsidRPr="00F02371">
        <w:rPr>
          <w:lang w:eastAsia="zh-TW"/>
        </w:rPr>
        <w:t xml:space="preserve"> the access point, or </w:t>
      </w:r>
      <w:r w:rsidR="00F75DD9" w:rsidRPr="00F02371">
        <w:rPr>
          <w:lang w:eastAsia="zh-TW"/>
        </w:rPr>
        <w:t>as both</w:t>
      </w:r>
      <w:r w:rsidRPr="00F02371">
        <w:rPr>
          <w:lang w:eastAsia="zh-TW"/>
        </w:rPr>
        <w:t xml:space="preserve">.  </w:t>
      </w:r>
    </w:p>
    <w:p w:rsidR="003F0CF7" w:rsidRPr="00F02371" w:rsidRDefault="00702DF8" w:rsidP="00702DF8">
      <w:pPr>
        <w:rPr>
          <w:lang w:eastAsia="zh-TW"/>
        </w:rPr>
      </w:pPr>
      <w:r w:rsidRPr="00F02371">
        <w:rPr>
          <w:lang w:eastAsia="zh-TW"/>
        </w:rPr>
        <w:t xml:space="preserve">Recording them as a separate element in the authority record may </w:t>
      </w:r>
      <w:r w:rsidR="00F75DD9" w:rsidRPr="00F02371">
        <w:rPr>
          <w:lang w:eastAsia="zh-TW"/>
        </w:rPr>
        <w:t xml:space="preserve">require the </w:t>
      </w:r>
      <w:r w:rsidRPr="00F02371">
        <w:rPr>
          <w:lang w:eastAsia="zh-TW"/>
        </w:rPr>
        <w:t xml:space="preserve">creation of authority records </w:t>
      </w:r>
      <w:r w:rsidR="00F75DD9" w:rsidRPr="00F02371">
        <w:rPr>
          <w:lang w:eastAsia="zh-TW"/>
        </w:rPr>
        <w:t xml:space="preserve">where they would not previously have been done.  </w:t>
      </w:r>
    </w:p>
    <w:p w:rsidR="00702DF8" w:rsidRPr="00F02371" w:rsidRDefault="00F75DD9" w:rsidP="00702DF8">
      <w:pPr>
        <w:rPr>
          <w:lang w:eastAsia="zh-TW"/>
        </w:rPr>
      </w:pPr>
      <w:proofErr w:type="gramStart"/>
      <w:r w:rsidRPr="00F02371">
        <w:rPr>
          <w:lang w:eastAsia="zh-TW"/>
        </w:rPr>
        <w:t>Recording them as part of the access point will remove this necessity</w:t>
      </w:r>
      <w:r w:rsidR="003F0CF7" w:rsidRPr="00F02371">
        <w:rPr>
          <w:lang w:eastAsia="zh-TW"/>
        </w:rPr>
        <w:t>, but may create differences with</w:t>
      </w:r>
      <w:r w:rsidRPr="00F02371">
        <w:rPr>
          <w:lang w:eastAsia="zh-TW"/>
        </w:rPr>
        <w:t xml:space="preserve"> existing headings in authority files.</w:t>
      </w:r>
      <w:proofErr w:type="gramEnd"/>
    </w:p>
    <w:p w:rsidR="001E6E4C" w:rsidRPr="00F02371" w:rsidRDefault="00391587" w:rsidP="00124278">
      <w:pPr>
        <w:rPr>
          <w:lang w:eastAsia="zh-TW"/>
        </w:rPr>
      </w:pPr>
      <w:r w:rsidRPr="00391587">
        <w:rPr>
          <w:noProof/>
          <w:lang w:eastAsia="zh-CN" w:bidi="th-TH"/>
        </w:rPr>
        <w:pict>
          <v:shape id="_x0000_s1034" type="#_x0000_t32" style="position:absolute;margin-left:8.3pt;margin-top:2.1pt;width:431pt;height:0;z-index:251640320" o:connectortype="straight" strokecolor="#7030a0" strokeweight="3pt"/>
        </w:pict>
      </w:r>
    </w:p>
    <w:p w:rsidR="000963E2" w:rsidRPr="00F02371" w:rsidRDefault="000E7DAA" w:rsidP="007E01E8">
      <w:pPr>
        <w:pStyle w:val="Heading4"/>
        <w:rPr>
          <w:rFonts w:eastAsia="PMingLiU"/>
          <w:lang w:eastAsia="zh-TW"/>
        </w:rPr>
      </w:pPr>
      <w:r>
        <w:rPr>
          <w:noProof/>
          <w:lang w:val="en-US" w:eastAsia="zh-CN" w:bidi="th-TH"/>
        </w:rPr>
        <w:lastRenderedPageBreak/>
        <w:drawing>
          <wp:anchor distT="0" distB="0" distL="114300" distR="114300" simplePos="0" relativeHeight="251657728" behindDoc="0" locked="0" layoutInCell="1" allowOverlap="1">
            <wp:simplePos x="0" y="0"/>
            <wp:positionH relativeFrom="column">
              <wp:posOffset>3785870</wp:posOffset>
            </wp:positionH>
            <wp:positionV relativeFrom="paragraph">
              <wp:posOffset>173990</wp:posOffset>
            </wp:positionV>
            <wp:extent cx="1617980" cy="1216660"/>
            <wp:effectExtent l="19050" t="19050" r="20320" b="21590"/>
            <wp:wrapSquare wrapText="bothSides"/>
            <wp:docPr id="45" name="Picture 45"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yBitmap"/>
                    <pic:cNvPicPr>
                      <a:picLocks noChangeAspect="1" noChangeArrowheads="1"/>
                    </pic:cNvPicPr>
                  </pic:nvPicPr>
                  <pic:blipFill>
                    <a:blip r:embed="rId11" cstate="print"/>
                    <a:srcRect/>
                    <a:stretch>
                      <a:fillRect/>
                    </a:stretch>
                  </pic:blipFill>
                  <pic:spPr bwMode="auto">
                    <a:xfrm>
                      <a:off x="0" y="0"/>
                      <a:ext cx="1617980" cy="1216660"/>
                    </a:xfrm>
                    <a:prstGeom prst="rect">
                      <a:avLst/>
                    </a:prstGeom>
                    <a:noFill/>
                    <a:ln w="12700">
                      <a:solidFill>
                        <a:srgbClr val="000000"/>
                      </a:solidFill>
                      <a:miter lim="800000"/>
                      <a:headEnd/>
                      <a:tailEnd/>
                    </a:ln>
                  </pic:spPr>
                </pic:pic>
              </a:graphicData>
            </a:graphic>
          </wp:anchor>
        </w:drawing>
      </w:r>
      <w:r w:rsidR="000963E2" w:rsidRPr="00F02371">
        <w:rPr>
          <w:rFonts w:eastAsia="PMingLiU"/>
          <w:lang w:eastAsia="zh-TW"/>
        </w:rPr>
        <w:t>Works and expressions</w:t>
      </w:r>
    </w:p>
    <w:p w:rsidR="009F5C8C" w:rsidRPr="00F02371" w:rsidRDefault="00F75DD9" w:rsidP="00F75DD9">
      <w:pPr>
        <w:rPr>
          <w:lang w:eastAsia="zh-TW"/>
        </w:rPr>
      </w:pPr>
      <w:r w:rsidRPr="00F02371">
        <w:rPr>
          <w:lang w:eastAsia="zh-TW"/>
        </w:rPr>
        <w:t xml:space="preserve">The chapters on Works and Expressions </w:t>
      </w:r>
      <w:r w:rsidR="003623FF" w:rsidRPr="00F02371">
        <w:rPr>
          <w:lang w:eastAsia="zh-TW"/>
        </w:rPr>
        <w:t>(chapters 6 -7</w:t>
      </w:r>
      <w:proofErr w:type="gramStart"/>
      <w:r w:rsidR="003623FF" w:rsidRPr="00F02371">
        <w:rPr>
          <w:lang w:eastAsia="zh-TW"/>
        </w:rPr>
        <w:t xml:space="preserve">) </w:t>
      </w:r>
      <w:r w:rsidR="003623FF">
        <w:rPr>
          <w:lang w:eastAsia="zh-TW"/>
        </w:rPr>
        <w:t xml:space="preserve"> </w:t>
      </w:r>
      <w:r w:rsidRPr="00F02371">
        <w:rPr>
          <w:lang w:eastAsia="zh-TW"/>
        </w:rPr>
        <w:t>work</w:t>
      </w:r>
      <w:proofErr w:type="gramEnd"/>
      <w:r w:rsidRPr="00F02371">
        <w:rPr>
          <w:lang w:eastAsia="zh-TW"/>
        </w:rPr>
        <w:t xml:space="preserve"> in the same way as the chapters on persons, families and corporate bodies.  The elements are recorded either in the “record” for the work or expression, or as part of the access point.  </w:t>
      </w:r>
    </w:p>
    <w:p w:rsidR="00B40519" w:rsidRPr="00F02371" w:rsidRDefault="00F75DD9" w:rsidP="00F75DD9">
      <w:pPr>
        <w:rPr>
          <w:lang w:eastAsia="zh-TW"/>
        </w:rPr>
      </w:pPr>
      <w:r w:rsidRPr="00F02371">
        <w:rPr>
          <w:lang w:eastAsia="zh-TW"/>
        </w:rPr>
        <w:t xml:space="preserve">As I have already explained, RDA is looking forward to a </w:t>
      </w:r>
      <w:r w:rsidR="00B40519" w:rsidRPr="00F02371">
        <w:rPr>
          <w:lang w:eastAsia="zh-TW"/>
        </w:rPr>
        <w:t>future</w:t>
      </w:r>
      <w:r w:rsidRPr="00F02371">
        <w:rPr>
          <w:lang w:eastAsia="zh-TW"/>
        </w:rPr>
        <w:t xml:space="preserve"> scenario which will see us creating separate</w:t>
      </w:r>
      <w:r w:rsidR="00B40519" w:rsidRPr="00F02371">
        <w:rPr>
          <w:lang w:eastAsia="zh-TW"/>
        </w:rPr>
        <w:t>, linked,</w:t>
      </w:r>
      <w:r w:rsidRPr="00F02371">
        <w:rPr>
          <w:lang w:eastAsia="zh-TW"/>
        </w:rPr>
        <w:t xml:space="preserve"> records for each of the Group 1 entities, rather than the composite records we now create.</w:t>
      </w:r>
      <w:r w:rsidR="00B40519" w:rsidRPr="00F02371">
        <w:rPr>
          <w:lang w:eastAsia="zh-TW"/>
        </w:rPr>
        <w:t xml:space="preserve">  </w:t>
      </w:r>
    </w:p>
    <w:p w:rsidR="00F75DD9" w:rsidRPr="00F02371" w:rsidRDefault="00B40519" w:rsidP="00F75DD9">
      <w:pPr>
        <w:rPr>
          <w:lang w:eastAsia="zh-TW"/>
        </w:rPr>
      </w:pPr>
      <w:r w:rsidRPr="00F02371">
        <w:rPr>
          <w:lang w:eastAsia="zh-TW"/>
        </w:rPr>
        <w:t xml:space="preserve">While our current systems, </w:t>
      </w:r>
      <w:r w:rsidR="00CB7CC9" w:rsidRPr="00F02371">
        <w:rPr>
          <w:lang w:eastAsia="zh-TW"/>
        </w:rPr>
        <w:t>in particular</w:t>
      </w:r>
      <w:r w:rsidRPr="00F02371">
        <w:rPr>
          <w:lang w:eastAsia="zh-TW"/>
        </w:rPr>
        <w:t xml:space="preserve"> the MARC encoding standard, make </w:t>
      </w:r>
      <w:r w:rsidR="00CB7CC9" w:rsidRPr="00F02371">
        <w:rPr>
          <w:lang w:eastAsia="zh-TW"/>
        </w:rPr>
        <w:t>this difficult to fully realise</w:t>
      </w:r>
      <w:r w:rsidRPr="00F02371">
        <w:rPr>
          <w:lang w:eastAsia="zh-TW"/>
        </w:rPr>
        <w:t xml:space="preserve"> it is possible to create “authority” records for works and expressions. </w:t>
      </w:r>
      <w:r w:rsidR="00F75DD9" w:rsidRPr="00F02371">
        <w:rPr>
          <w:lang w:eastAsia="zh-TW"/>
        </w:rPr>
        <w:t xml:space="preserve">Most libraries do not currently routinely </w:t>
      </w:r>
      <w:r w:rsidRPr="00F02371">
        <w:rPr>
          <w:lang w:eastAsia="zh-TW"/>
        </w:rPr>
        <w:t>do this</w:t>
      </w:r>
      <w:r w:rsidR="00F75DD9" w:rsidRPr="00F02371">
        <w:rPr>
          <w:lang w:eastAsia="zh-TW"/>
        </w:rPr>
        <w:t xml:space="preserve">, so </w:t>
      </w:r>
      <w:r w:rsidRPr="00F02371">
        <w:rPr>
          <w:lang w:eastAsia="zh-TW"/>
        </w:rPr>
        <w:t>policy decisions will need to be made about whether the new information that RDA lets us record, and the possibilities this has for OPAC displays, justifies the need to revise policy on this matter.</w:t>
      </w:r>
    </w:p>
    <w:p w:rsidR="00CB7CC9" w:rsidRPr="00F02371" w:rsidRDefault="00391587" w:rsidP="00CB7CC9">
      <w:pPr>
        <w:rPr>
          <w:lang w:eastAsia="zh-TW"/>
        </w:rPr>
      </w:pPr>
      <w:r w:rsidRPr="00391587">
        <w:rPr>
          <w:noProof/>
          <w:lang w:eastAsia="zh-CN" w:bidi="th-TH"/>
        </w:rPr>
        <w:pict>
          <v:shape id="_x0000_s1036" type="#_x0000_t32" style="position:absolute;margin-left:7.6pt;margin-top:16.65pt;width:431pt;height:0;z-index:251641344" o:connectortype="straight" strokecolor="#7030a0" strokeweight="3pt"/>
        </w:pict>
      </w:r>
    </w:p>
    <w:p w:rsidR="000963E2" w:rsidRPr="00F02371" w:rsidRDefault="000963E2" w:rsidP="00B50E10">
      <w:pPr>
        <w:pStyle w:val="Heading3"/>
        <w:rPr>
          <w:rFonts w:eastAsia="PMingLiU"/>
          <w:lang w:eastAsia="zh-TW"/>
        </w:rPr>
      </w:pPr>
      <w:r w:rsidRPr="00F02371">
        <w:rPr>
          <w:rFonts w:eastAsia="PMingLiU"/>
          <w:lang w:eastAsia="zh-TW"/>
        </w:rPr>
        <w:t>Differences between AACR2 authorities and RDA authorities</w:t>
      </w:r>
    </w:p>
    <w:p w:rsidR="00B40519" w:rsidRPr="00F02371" w:rsidRDefault="000E7DAA" w:rsidP="00B40519">
      <w:pPr>
        <w:rPr>
          <w:lang w:eastAsia="zh-TW"/>
        </w:rPr>
      </w:pPr>
      <w:r>
        <w:rPr>
          <w:noProof/>
          <w:lang w:val="en-US" w:eastAsia="zh-CN" w:bidi="th-TH"/>
        </w:rPr>
        <w:drawing>
          <wp:anchor distT="0" distB="0" distL="114300" distR="114300" simplePos="0" relativeHeight="251658752" behindDoc="0" locked="0" layoutInCell="1" allowOverlap="1">
            <wp:simplePos x="0" y="0"/>
            <wp:positionH relativeFrom="column">
              <wp:posOffset>3785870</wp:posOffset>
            </wp:positionH>
            <wp:positionV relativeFrom="paragraph">
              <wp:posOffset>194310</wp:posOffset>
            </wp:positionV>
            <wp:extent cx="1617980" cy="1210310"/>
            <wp:effectExtent l="19050" t="19050" r="20320" b="27940"/>
            <wp:wrapSquare wrapText="bothSides"/>
            <wp:docPr id="46" name="Picture 25"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gibbs\AppData\Local\Microsoft\Windows\Temporary Internet Files\Content.Word\~MyBitmap.bmp"/>
                    <pic:cNvPicPr>
                      <a:picLocks noChangeAspect="1" noChangeArrowheads="1"/>
                    </pic:cNvPicPr>
                  </pic:nvPicPr>
                  <pic:blipFill>
                    <a:blip r:embed="rId12" cstate="print"/>
                    <a:srcRect/>
                    <a:stretch>
                      <a:fillRect/>
                    </a:stretch>
                  </pic:blipFill>
                  <pic:spPr bwMode="auto">
                    <a:xfrm>
                      <a:off x="0" y="0"/>
                      <a:ext cx="1617980" cy="1210310"/>
                    </a:xfrm>
                    <a:prstGeom prst="rect">
                      <a:avLst/>
                    </a:prstGeom>
                    <a:noFill/>
                    <a:ln w="12700">
                      <a:solidFill>
                        <a:srgbClr val="000000"/>
                      </a:solidFill>
                      <a:miter lim="800000"/>
                      <a:headEnd/>
                      <a:tailEnd/>
                    </a:ln>
                  </pic:spPr>
                </pic:pic>
              </a:graphicData>
            </a:graphic>
          </wp:anchor>
        </w:drawing>
      </w:r>
      <w:r w:rsidR="00B40519" w:rsidRPr="00F02371">
        <w:rPr>
          <w:lang w:eastAsia="zh-TW"/>
        </w:rPr>
        <w:t>I have alluded throughout the training to changes in t</w:t>
      </w:r>
      <w:r w:rsidR="00CB7CC9" w:rsidRPr="00F02371">
        <w:rPr>
          <w:lang w:eastAsia="zh-TW"/>
        </w:rPr>
        <w:t>he way certain data is recorded</w:t>
      </w:r>
      <w:r w:rsidR="00B40519" w:rsidRPr="00F02371">
        <w:rPr>
          <w:lang w:eastAsia="zh-TW"/>
        </w:rPr>
        <w:t xml:space="preserve"> and </w:t>
      </w:r>
      <w:r w:rsidR="00CB7CC9" w:rsidRPr="00F02371">
        <w:rPr>
          <w:lang w:eastAsia="zh-TW"/>
        </w:rPr>
        <w:t>the</w:t>
      </w:r>
      <w:r w:rsidR="00B40519" w:rsidRPr="00F02371">
        <w:rPr>
          <w:lang w:eastAsia="zh-TW"/>
        </w:rPr>
        <w:t xml:space="preserve"> impact on access points and authority records.</w:t>
      </w:r>
    </w:p>
    <w:p w:rsidR="00CB7CC9" w:rsidRPr="00F02371" w:rsidRDefault="000963E2" w:rsidP="00B50E10">
      <w:pPr>
        <w:pStyle w:val="Heading4"/>
        <w:rPr>
          <w:rFonts w:eastAsia="PMingLiU"/>
          <w:lang w:eastAsia="zh-TW"/>
        </w:rPr>
      </w:pPr>
      <w:r w:rsidRPr="00F02371">
        <w:rPr>
          <w:rFonts w:eastAsia="PMingLiU"/>
          <w:lang w:eastAsia="zh-TW"/>
        </w:rPr>
        <w:t>Abbreviations</w:t>
      </w:r>
    </w:p>
    <w:p w:rsidR="00B40519" w:rsidRPr="00F02371" w:rsidRDefault="00B40519" w:rsidP="00B40519">
      <w:pPr>
        <w:rPr>
          <w:lang w:eastAsia="zh-TW"/>
        </w:rPr>
      </w:pPr>
      <w:r w:rsidRPr="00F02371">
        <w:rPr>
          <w:lang w:eastAsia="zh-TW"/>
        </w:rPr>
        <w:t>The move away from the use of abbreviations affects headings and authority records as well as bibliographic data.  The most notable of these is the change in practice with regard to the word “Department”, which will now no longer be abbreviated.  This constitutes a significant change in practice when recording the preferred name for corporate bodies.</w:t>
      </w:r>
    </w:p>
    <w:p w:rsidR="000963E2" w:rsidRPr="00F02371" w:rsidRDefault="000963E2" w:rsidP="00B50E10">
      <w:pPr>
        <w:pStyle w:val="Heading4"/>
        <w:rPr>
          <w:rFonts w:eastAsia="PMingLiU"/>
          <w:lang w:eastAsia="zh-TW"/>
        </w:rPr>
      </w:pPr>
      <w:r w:rsidRPr="00F02371">
        <w:rPr>
          <w:rFonts w:eastAsia="PMingLiU"/>
          <w:lang w:eastAsia="zh-TW"/>
        </w:rPr>
        <w:t>Bible Headings</w:t>
      </w:r>
    </w:p>
    <w:p w:rsidR="00B40519" w:rsidRPr="00F02371" w:rsidRDefault="00B40519" w:rsidP="00B40519">
      <w:pPr>
        <w:rPr>
          <w:lang w:eastAsia="zh-TW"/>
        </w:rPr>
      </w:pPr>
      <w:r w:rsidRPr="00F02371">
        <w:rPr>
          <w:lang w:eastAsia="zh-TW"/>
        </w:rPr>
        <w:t>We also learned in Chapter 6 of RDA</w:t>
      </w:r>
      <w:r w:rsidR="003623FF">
        <w:rPr>
          <w:lang w:eastAsia="zh-TW"/>
        </w:rPr>
        <w:t xml:space="preserve"> that</w:t>
      </w:r>
      <w:r w:rsidRPr="00F02371">
        <w:rPr>
          <w:lang w:eastAsia="zh-TW"/>
        </w:rPr>
        <w:t xml:space="preserve"> the references to the Old and New Testaments are no longer used in Bible Headings</w:t>
      </w:r>
      <w:r w:rsidR="005017FC" w:rsidRPr="00F02371">
        <w:rPr>
          <w:lang w:eastAsia="zh-TW"/>
        </w:rPr>
        <w:t>, which means any new authorised access points for books of the Bible will be different from their AACR2 counterparts.</w:t>
      </w:r>
      <w:r w:rsidR="005A6AF5" w:rsidRPr="00F02371">
        <w:rPr>
          <w:lang w:eastAsia="zh-TW"/>
        </w:rPr>
        <w:t xml:space="preserve">  </w:t>
      </w:r>
    </w:p>
    <w:p w:rsidR="000963E2" w:rsidRPr="00F02371" w:rsidRDefault="000963E2" w:rsidP="00B50E10">
      <w:pPr>
        <w:pStyle w:val="Heading4"/>
        <w:rPr>
          <w:rFonts w:eastAsia="PMingLiU"/>
          <w:lang w:eastAsia="zh-TW"/>
        </w:rPr>
      </w:pPr>
      <w:r w:rsidRPr="00F02371">
        <w:rPr>
          <w:rFonts w:eastAsia="PMingLiU"/>
          <w:lang w:eastAsia="zh-TW"/>
        </w:rPr>
        <w:t>Forms of names</w:t>
      </w:r>
    </w:p>
    <w:p w:rsidR="00D63624" w:rsidRPr="00F02371" w:rsidRDefault="00D63624" w:rsidP="00D63624">
      <w:pPr>
        <w:rPr>
          <w:lang w:eastAsia="zh-TW"/>
        </w:rPr>
      </w:pPr>
      <w:r w:rsidRPr="00F02371">
        <w:rPr>
          <w:lang w:eastAsia="zh-TW"/>
        </w:rPr>
        <w:t>There are other minor changes in choosing the preferred name that may result in differences between AACR2 and RDA headings, such as the removal of English language bias, choices among different forms of the same name etc.</w:t>
      </w:r>
    </w:p>
    <w:p w:rsidR="00D63624" w:rsidRPr="00F02371" w:rsidRDefault="00D63624" w:rsidP="00B50E10">
      <w:pPr>
        <w:pStyle w:val="Heading4"/>
        <w:rPr>
          <w:rFonts w:eastAsia="PMingLiU"/>
          <w:lang w:eastAsia="zh-TW"/>
        </w:rPr>
      </w:pPr>
      <w:r w:rsidRPr="00F02371">
        <w:rPr>
          <w:rFonts w:eastAsia="PMingLiU"/>
          <w:lang w:eastAsia="zh-TW"/>
        </w:rPr>
        <w:t>More information</w:t>
      </w:r>
    </w:p>
    <w:p w:rsidR="00D63624" w:rsidRPr="00F02371" w:rsidRDefault="00D63624" w:rsidP="00D63624">
      <w:pPr>
        <w:rPr>
          <w:lang w:eastAsia="zh-TW"/>
        </w:rPr>
      </w:pPr>
      <w:r w:rsidRPr="00F02371">
        <w:rPr>
          <w:lang w:eastAsia="zh-TW"/>
        </w:rPr>
        <w:t xml:space="preserve">And finally, there is simply more </w:t>
      </w:r>
      <w:r w:rsidR="00ED3060" w:rsidRPr="00F02371">
        <w:rPr>
          <w:lang w:eastAsia="zh-TW"/>
        </w:rPr>
        <w:t>information you</w:t>
      </w:r>
      <w:r w:rsidRPr="00F02371">
        <w:rPr>
          <w:lang w:eastAsia="zh-TW"/>
        </w:rPr>
        <w:t xml:space="preserve"> can record in authority records.</w:t>
      </w:r>
    </w:p>
    <w:p w:rsidR="005A6AF5" w:rsidRPr="00F02371" w:rsidRDefault="00391587" w:rsidP="00400C3F">
      <w:pPr>
        <w:pStyle w:val="Heading2"/>
      </w:pPr>
      <w:r w:rsidRPr="00391587">
        <w:rPr>
          <w:noProof/>
          <w:lang w:eastAsia="zh-CN" w:bidi="th-TH"/>
        </w:rPr>
        <w:lastRenderedPageBreak/>
        <w:pict>
          <v:shape id="_x0000_s1038" type="#_x0000_t32" style="position:absolute;margin-left:2.5pt;margin-top:11.6pt;width:431pt;height:0;z-index:251642368" o:connectortype="straight" strokecolor="#7030a0" strokeweight="3pt"/>
        </w:pict>
      </w:r>
    </w:p>
    <w:p w:rsidR="005A6AF5" w:rsidRPr="00F02371" w:rsidRDefault="005A6AF5" w:rsidP="005A6AF5"/>
    <w:p w:rsidR="000963E2" w:rsidRPr="00F02371" w:rsidRDefault="000E7DAA" w:rsidP="00B50E10">
      <w:pPr>
        <w:pStyle w:val="Heading3"/>
        <w:rPr>
          <w:rFonts w:eastAsia="PMingLiU"/>
          <w:lang w:eastAsia="zh-TW"/>
        </w:rPr>
      </w:pPr>
      <w:r>
        <w:rPr>
          <w:noProof/>
          <w:lang w:val="en-US" w:eastAsia="zh-CN" w:bidi="th-TH"/>
        </w:rPr>
        <w:drawing>
          <wp:anchor distT="0" distB="0" distL="114300" distR="114300" simplePos="0" relativeHeight="251659776" behindDoc="0" locked="0" layoutInCell="1" allowOverlap="1">
            <wp:simplePos x="0" y="0"/>
            <wp:positionH relativeFrom="column">
              <wp:posOffset>3766820</wp:posOffset>
            </wp:positionH>
            <wp:positionV relativeFrom="paragraph">
              <wp:posOffset>4445</wp:posOffset>
            </wp:positionV>
            <wp:extent cx="1617345" cy="1188085"/>
            <wp:effectExtent l="19050" t="19050" r="20955" b="12065"/>
            <wp:wrapSquare wrapText="bothSides"/>
            <wp:docPr id="47" name="Picture 47"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yBitmap"/>
                    <pic:cNvPicPr>
                      <a:picLocks noChangeAspect="1" noChangeArrowheads="1"/>
                    </pic:cNvPicPr>
                  </pic:nvPicPr>
                  <pic:blipFill>
                    <a:blip r:embed="rId13" cstate="print"/>
                    <a:srcRect/>
                    <a:stretch>
                      <a:fillRect/>
                    </a:stretch>
                  </pic:blipFill>
                  <pic:spPr bwMode="auto">
                    <a:xfrm>
                      <a:off x="0" y="0"/>
                      <a:ext cx="1617345" cy="1188085"/>
                    </a:xfrm>
                    <a:prstGeom prst="rect">
                      <a:avLst/>
                    </a:prstGeom>
                    <a:noFill/>
                    <a:ln w="12700">
                      <a:solidFill>
                        <a:srgbClr val="000000"/>
                      </a:solidFill>
                      <a:miter lim="800000"/>
                      <a:headEnd/>
                      <a:tailEnd/>
                    </a:ln>
                  </pic:spPr>
                </pic:pic>
              </a:graphicData>
            </a:graphic>
          </wp:anchor>
        </w:drawing>
      </w:r>
      <w:r w:rsidR="000963E2" w:rsidRPr="00F02371">
        <w:t>MARC changes</w:t>
      </w:r>
    </w:p>
    <w:p w:rsidR="00804AF2" w:rsidRPr="00F02371" w:rsidRDefault="00804AF2" w:rsidP="00804AF2">
      <w:pPr>
        <w:rPr>
          <w:lang w:eastAsia="zh-TW"/>
        </w:rPr>
      </w:pPr>
      <w:r w:rsidRPr="00F02371">
        <w:rPr>
          <w:lang w:eastAsia="zh-TW"/>
        </w:rPr>
        <w:t>I have already touched on MARC changes earlier modules, but it is useful to bring them together again in this context.</w:t>
      </w:r>
    </w:p>
    <w:p w:rsidR="001C7487" w:rsidRPr="00F02371" w:rsidRDefault="001C7487" w:rsidP="00B50E10">
      <w:pPr>
        <w:pStyle w:val="Heading4"/>
        <w:rPr>
          <w:rFonts w:eastAsia="PMingLiU"/>
          <w:lang w:eastAsia="zh-TW"/>
        </w:rPr>
      </w:pPr>
      <w:r w:rsidRPr="00F02371">
        <w:rPr>
          <w:rFonts w:eastAsia="PMingLiU"/>
          <w:lang w:eastAsia="zh-TW"/>
        </w:rPr>
        <w:t>Future of MARC</w:t>
      </w:r>
    </w:p>
    <w:p w:rsidR="005A6AF5" w:rsidRPr="00F02371" w:rsidRDefault="001C7487" w:rsidP="00804AF2">
      <w:pPr>
        <w:rPr>
          <w:lang w:eastAsia="zh-TW"/>
        </w:rPr>
      </w:pPr>
      <w:r w:rsidRPr="00F02371">
        <w:rPr>
          <w:lang w:eastAsia="zh-TW"/>
        </w:rPr>
        <w:t xml:space="preserve">As we know, investigations into a replacement for the </w:t>
      </w:r>
      <w:r w:rsidR="00ED3060" w:rsidRPr="00F02371">
        <w:rPr>
          <w:lang w:eastAsia="zh-TW"/>
        </w:rPr>
        <w:t xml:space="preserve">current </w:t>
      </w:r>
      <w:r w:rsidRPr="00F02371">
        <w:rPr>
          <w:lang w:eastAsia="zh-TW"/>
        </w:rPr>
        <w:t xml:space="preserve">MARC Standard are well under way, and this will have an impact on all aspects of cataloguing, including authority records.  </w:t>
      </w:r>
    </w:p>
    <w:p w:rsidR="001C7487" w:rsidRPr="00F02371" w:rsidRDefault="005A6AF5" w:rsidP="00804AF2">
      <w:pPr>
        <w:rPr>
          <w:lang w:eastAsia="zh-TW"/>
        </w:rPr>
      </w:pPr>
      <w:r w:rsidRPr="00F02371">
        <w:rPr>
          <w:lang w:eastAsia="zh-TW"/>
        </w:rPr>
        <w:t>In the meantime</w:t>
      </w:r>
      <w:r w:rsidR="001C7487" w:rsidRPr="00F02371">
        <w:rPr>
          <w:lang w:eastAsia="zh-TW"/>
        </w:rPr>
        <w:t xml:space="preserve"> changes have been made to MARC to accommodate RDA.  It also needs to be said MARC provisions already went beyond what was covered in AACR2 so some of the things RDA now covers a</w:t>
      </w:r>
      <w:r w:rsidRPr="00F02371">
        <w:rPr>
          <w:lang w:eastAsia="zh-TW"/>
        </w:rPr>
        <w:t>re already provided for in MARC. For example, the provision for relationship designators</w:t>
      </w:r>
    </w:p>
    <w:p w:rsidR="005A6AF5" w:rsidRPr="00F02371" w:rsidRDefault="005A6AF5" w:rsidP="00400C3F">
      <w:pPr>
        <w:pStyle w:val="Heading3"/>
        <w:rPr>
          <w:rFonts w:eastAsia="PMingLiU"/>
          <w:lang w:eastAsia="zh-TW"/>
        </w:rPr>
      </w:pPr>
    </w:p>
    <w:p w:rsidR="005A6AF5" w:rsidRPr="00F02371" w:rsidRDefault="00391587" w:rsidP="00400C3F">
      <w:pPr>
        <w:pStyle w:val="Heading3"/>
        <w:rPr>
          <w:rFonts w:eastAsia="PMingLiU"/>
          <w:lang w:eastAsia="zh-TW"/>
        </w:rPr>
      </w:pPr>
      <w:r w:rsidRPr="00391587">
        <w:rPr>
          <w:noProof/>
          <w:lang w:eastAsia="zh-CN" w:bidi="th-TH"/>
        </w:rPr>
        <w:pict>
          <v:shape id="_x0000_s1040" type="#_x0000_t32" style="position:absolute;margin-left:2.5pt;margin-top:3.75pt;width:431pt;height:0;z-index:251643392" o:connectortype="straight" strokecolor="#7030a0" strokeweight="3pt"/>
        </w:pict>
      </w:r>
    </w:p>
    <w:p w:rsidR="000963E2" w:rsidRPr="00F02371" w:rsidRDefault="000E7DAA" w:rsidP="00B50E10">
      <w:pPr>
        <w:pStyle w:val="Heading4"/>
        <w:rPr>
          <w:rFonts w:eastAsia="PMingLiU"/>
          <w:lang w:eastAsia="zh-TW"/>
        </w:rPr>
      </w:pPr>
      <w:r>
        <w:rPr>
          <w:rFonts w:eastAsia="PMingLiU"/>
          <w:noProof/>
          <w:lang w:val="en-US" w:eastAsia="zh-CN" w:bidi="th-TH"/>
        </w:rPr>
        <w:drawing>
          <wp:anchor distT="0" distB="0" distL="114300" distR="114300" simplePos="0" relativeHeight="251660800" behindDoc="0" locked="0" layoutInCell="1" allowOverlap="1">
            <wp:simplePos x="0" y="0"/>
            <wp:positionH relativeFrom="column">
              <wp:posOffset>3766820</wp:posOffset>
            </wp:positionH>
            <wp:positionV relativeFrom="paragraph">
              <wp:posOffset>17145</wp:posOffset>
            </wp:positionV>
            <wp:extent cx="1617345" cy="1199515"/>
            <wp:effectExtent l="19050" t="19050" r="20955" b="19685"/>
            <wp:wrapSquare wrapText="bothSides"/>
            <wp:docPr id="48" name="Picture 28"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gibbs\AppData\Local\Microsoft\Windows\Temporary Internet Files\Content.Word\~MyBitmap.bmp"/>
                    <pic:cNvPicPr>
                      <a:picLocks noChangeAspect="1" noChangeArrowheads="1"/>
                    </pic:cNvPicPr>
                  </pic:nvPicPr>
                  <pic:blipFill>
                    <a:blip r:embed="rId14" cstate="print"/>
                    <a:srcRect/>
                    <a:stretch>
                      <a:fillRect/>
                    </a:stretch>
                  </pic:blipFill>
                  <pic:spPr bwMode="auto">
                    <a:xfrm>
                      <a:off x="0" y="0"/>
                      <a:ext cx="1617345" cy="1199515"/>
                    </a:xfrm>
                    <a:prstGeom prst="rect">
                      <a:avLst/>
                    </a:prstGeom>
                    <a:noFill/>
                    <a:ln w="12700">
                      <a:solidFill>
                        <a:srgbClr val="000000"/>
                      </a:solidFill>
                      <a:miter lim="800000"/>
                      <a:headEnd/>
                      <a:tailEnd/>
                    </a:ln>
                  </pic:spPr>
                </pic:pic>
              </a:graphicData>
            </a:graphic>
          </wp:anchor>
        </w:drawing>
      </w:r>
      <w:r w:rsidR="000963E2" w:rsidRPr="00F02371">
        <w:rPr>
          <w:rFonts w:eastAsia="PMingLiU"/>
          <w:lang w:eastAsia="zh-TW"/>
        </w:rPr>
        <w:t>New Fields for new RDA elements</w:t>
      </w:r>
    </w:p>
    <w:p w:rsidR="001C7487" w:rsidRPr="00F02371" w:rsidRDefault="00BE59EE" w:rsidP="001C7487">
      <w:pPr>
        <w:rPr>
          <w:lang w:eastAsia="zh-TW"/>
        </w:rPr>
      </w:pPr>
      <w:r w:rsidRPr="00F02371">
        <w:rPr>
          <w:lang w:eastAsia="zh-TW"/>
        </w:rPr>
        <w:t xml:space="preserve">MARC has created a number of new fields for authority records to accommodate RDA. </w:t>
      </w:r>
      <w:r w:rsidR="001C7487" w:rsidRPr="00F02371">
        <w:rPr>
          <w:lang w:eastAsia="zh-TW"/>
        </w:rPr>
        <w:t xml:space="preserve">On the next couple of slides you’ll see </w:t>
      </w:r>
      <w:r w:rsidRPr="00F02371">
        <w:rPr>
          <w:lang w:eastAsia="zh-TW"/>
        </w:rPr>
        <w:t>some screen dumps from the MARC website</w:t>
      </w:r>
      <w:r w:rsidR="0029362E" w:rsidRPr="00F02371">
        <w:rPr>
          <w:lang w:eastAsia="zh-TW"/>
        </w:rPr>
        <w:t xml:space="preserve"> showing</w:t>
      </w:r>
      <w:r w:rsidRPr="00F02371">
        <w:rPr>
          <w:lang w:eastAsia="zh-TW"/>
        </w:rPr>
        <w:t xml:space="preserve"> a summary of changes.</w:t>
      </w:r>
    </w:p>
    <w:p w:rsidR="0029362E" w:rsidRPr="00F02371" w:rsidRDefault="000C0A06" w:rsidP="00BE59EE">
      <w:pPr>
        <w:rPr>
          <w:lang w:eastAsia="zh-TW"/>
        </w:rPr>
      </w:pPr>
      <w:r w:rsidRPr="00F02371">
        <w:rPr>
          <w:lang w:eastAsia="zh-TW"/>
        </w:rPr>
        <w:t xml:space="preserve">(We will look at these </w:t>
      </w:r>
      <w:r w:rsidR="00023330" w:rsidRPr="00F02371">
        <w:rPr>
          <w:lang w:eastAsia="zh-TW"/>
        </w:rPr>
        <w:t>fields and where the related instructions are in RDA when we look at the examples at the end of the module)</w:t>
      </w:r>
    </w:p>
    <w:p w:rsidR="0029362E" w:rsidRPr="00F02371" w:rsidRDefault="00391587" w:rsidP="00BE59EE">
      <w:pPr>
        <w:rPr>
          <w:lang w:eastAsia="zh-TW"/>
        </w:rPr>
      </w:pPr>
      <w:r w:rsidRPr="00391587">
        <w:rPr>
          <w:noProof/>
          <w:lang w:eastAsia="zh-CN" w:bidi="th-TH"/>
        </w:rPr>
        <w:pict>
          <v:shape id="_x0000_s1042" type="#_x0000_t32" style="position:absolute;margin-left:2.5pt;margin-top:20.9pt;width:431pt;height:0;z-index:251644416" o:connectortype="straight" strokecolor="#7030a0" strokeweight="3pt"/>
        </w:pict>
      </w:r>
    </w:p>
    <w:p w:rsidR="0029362E" w:rsidRPr="00F02371" w:rsidRDefault="0029362E" w:rsidP="00BE59EE">
      <w:pPr>
        <w:rPr>
          <w:lang w:eastAsia="zh-TW"/>
        </w:rPr>
      </w:pPr>
    </w:p>
    <w:p w:rsidR="00BE59EE" w:rsidRPr="00F02371" w:rsidRDefault="007E01E8" w:rsidP="00BE59EE">
      <w:pPr>
        <w:rPr>
          <w:lang w:eastAsia="zh-TW"/>
        </w:rPr>
      </w:pPr>
      <w:r>
        <w:rPr>
          <w:noProof/>
          <w:lang w:val="en-US" w:eastAsia="zh-CN" w:bidi="th-TH"/>
        </w:rPr>
        <w:drawing>
          <wp:anchor distT="0" distB="0" distL="114300" distR="114300" simplePos="0" relativeHeight="251661824" behindDoc="0" locked="0" layoutInCell="1" allowOverlap="1">
            <wp:simplePos x="0" y="0"/>
            <wp:positionH relativeFrom="column">
              <wp:posOffset>3798570</wp:posOffset>
            </wp:positionH>
            <wp:positionV relativeFrom="paragraph">
              <wp:posOffset>12065</wp:posOffset>
            </wp:positionV>
            <wp:extent cx="1619885" cy="1213485"/>
            <wp:effectExtent l="19050" t="19050" r="18415" b="24765"/>
            <wp:wrapSquare wrapText="bothSides"/>
            <wp:docPr id="49" name="Picture 49"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yBitmap"/>
                    <pic:cNvPicPr>
                      <a:picLocks noChangeAspect="1" noChangeArrowheads="1"/>
                    </pic:cNvPicPr>
                  </pic:nvPicPr>
                  <pic:blipFill>
                    <a:blip r:embed="rId15" cstate="print"/>
                    <a:srcRect/>
                    <a:stretch>
                      <a:fillRect/>
                    </a:stretch>
                  </pic:blipFill>
                  <pic:spPr bwMode="auto">
                    <a:xfrm>
                      <a:off x="0" y="0"/>
                      <a:ext cx="1619885" cy="1213485"/>
                    </a:xfrm>
                    <a:prstGeom prst="rect">
                      <a:avLst/>
                    </a:prstGeom>
                    <a:noFill/>
                    <a:ln w="12700">
                      <a:solidFill>
                        <a:srgbClr val="000000"/>
                      </a:solidFill>
                      <a:miter lim="800000"/>
                      <a:headEnd/>
                      <a:tailEnd/>
                    </a:ln>
                  </pic:spPr>
                </pic:pic>
              </a:graphicData>
            </a:graphic>
          </wp:anchor>
        </w:drawing>
      </w:r>
      <w:r w:rsidR="00264C71" w:rsidRPr="00264C71">
        <w:rPr>
          <w:lang w:eastAsia="zh-TW"/>
        </w:rPr>
        <w:t>And these are for attributes of works and expressions.</w:t>
      </w:r>
      <w:r w:rsidR="00264C71">
        <w:rPr>
          <w:lang w:eastAsia="zh-TW"/>
        </w:rPr>
        <w:t xml:space="preserve"> </w:t>
      </w:r>
      <w:r w:rsidR="00BE59EE" w:rsidRPr="00F02371">
        <w:rPr>
          <w:lang w:eastAsia="zh-TW"/>
        </w:rPr>
        <w:t xml:space="preserve">Note that for works and expressions, the new MARC fields are for </w:t>
      </w:r>
      <w:r w:rsidR="00BE59EE" w:rsidRPr="00F02371">
        <w:rPr>
          <w:b/>
          <w:bCs/>
          <w:lang w:eastAsia="zh-TW"/>
        </w:rPr>
        <w:t xml:space="preserve">both </w:t>
      </w:r>
      <w:r w:rsidR="00BE59EE" w:rsidRPr="00F02371">
        <w:rPr>
          <w:lang w:eastAsia="zh-TW"/>
        </w:rPr>
        <w:t xml:space="preserve">the authority </w:t>
      </w:r>
      <w:r w:rsidR="00BE59EE" w:rsidRPr="00F02371">
        <w:rPr>
          <w:b/>
          <w:bCs/>
          <w:lang w:eastAsia="zh-TW"/>
        </w:rPr>
        <w:t xml:space="preserve">and </w:t>
      </w:r>
      <w:r w:rsidR="00BE59EE" w:rsidRPr="00F02371">
        <w:rPr>
          <w:lang w:eastAsia="zh-TW"/>
        </w:rPr>
        <w:t>bibliographic record.</w:t>
      </w:r>
    </w:p>
    <w:p w:rsidR="0029362E" w:rsidRDefault="0029362E" w:rsidP="00BE59EE">
      <w:pPr>
        <w:rPr>
          <w:lang w:eastAsia="zh-TW"/>
        </w:rPr>
      </w:pPr>
    </w:p>
    <w:p w:rsidR="000F7945" w:rsidRPr="00F02371" w:rsidRDefault="000F7945" w:rsidP="00BE59EE">
      <w:pPr>
        <w:rPr>
          <w:lang w:eastAsia="zh-TW"/>
        </w:rPr>
      </w:pPr>
    </w:p>
    <w:p w:rsidR="0029362E" w:rsidRPr="00F02371" w:rsidRDefault="0029362E" w:rsidP="00BE59EE">
      <w:pPr>
        <w:rPr>
          <w:lang w:eastAsia="zh-TW"/>
        </w:rPr>
      </w:pPr>
      <w:r w:rsidRPr="00F02371">
        <w:rPr>
          <w:lang w:eastAsia="zh-TW"/>
        </w:rPr>
        <w:t xml:space="preserve">[RDA in </w:t>
      </w:r>
      <w:r w:rsidR="00264C71">
        <w:rPr>
          <w:lang w:eastAsia="zh-TW"/>
        </w:rPr>
        <w:t xml:space="preserve">MARC </w:t>
      </w:r>
      <w:r w:rsidRPr="00F02371">
        <w:rPr>
          <w:lang w:eastAsia="zh-TW"/>
        </w:rPr>
        <w:t xml:space="preserve">summary of additions - </w:t>
      </w:r>
      <w:hyperlink r:id="rId16" w:history="1">
        <w:r w:rsidRPr="00F02371">
          <w:rPr>
            <w:rStyle w:val="Hyperlink"/>
            <w:lang w:eastAsia="zh-TW"/>
          </w:rPr>
          <w:t>http://www.loc.gov/marc/RDAinMARC-7-12.html</w:t>
        </w:r>
      </w:hyperlink>
      <w:r w:rsidRPr="00F02371">
        <w:rPr>
          <w:lang w:eastAsia="zh-TW"/>
        </w:rPr>
        <w:t xml:space="preserve"> ]</w:t>
      </w:r>
    </w:p>
    <w:p w:rsidR="0029362E" w:rsidRPr="00F02371" w:rsidRDefault="00391587" w:rsidP="00400C3F">
      <w:pPr>
        <w:pStyle w:val="Heading3"/>
        <w:rPr>
          <w:rFonts w:eastAsia="PMingLiU"/>
          <w:lang w:eastAsia="zh-TW"/>
        </w:rPr>
      </w:pPr>
      <w:r w:rsidRPr="00391587">
        <w:rPr>
          <w:noProof/>
          <w:lang w:eastAsia="zh-CN" w:bidi="th-TH"/>
        </w:rPr>
        <w:pict>
          <v:shape id="_x0000_s1044" type="#_x0000_t32" style="position:absolute;margin-left:2.5pt;margin-top:9.45pt;width:431pt;height:0;z-index:251645440" o:connectortype="straight" strokecolor="#7030a0" strokeweight="3pt"/>
        </w:pict>
      </w:r>
    </w:p>
    <w:p w:rsidR="007E01E8" w:rsidRDefault="007E01E8" w:rsidP="00400C3F">
      <w:pPr>
        <w:pStyle w:val="Heading3"/>
        <w:rPr>
          <w:rFonts w:eastAsia="PMingLiU"/>
          <w:lang w:eastAsia="zh-TW"/>
        </w:rPr>
      </w:pPr>
    </w:p>
    <w:p w:rsidR="000963E2" w:rsidRPr="00F02371" w:rsidRDefault="00804AF2" w:rsidP="00B50E10">
      <w:pPr>
        <w:pStyle w:val="Heading4"/>
        <w:rPr>
          <w:rFonts w:eastAsia="PMingLiU"/>
          <w:lang w:eastAsia="zh-TW"/>
        </w:rPr>
      </w:pPr>
      <w:r w:rsidRPr="00F02371">
        <w:rPr>
          <w:rFonts w:eastAsia="PMingLiU"/>
          <w:lang w:eastAsia="zh-TW"/>
        </w:rPr>
        <w:lastRenderedPageBreak/>
        <w:t>E</w:t>
      </w:r>
      <w:r w:rsidR="000963E2" w:rsidRPr="00F02371">
        <w:rPr>
          <w:rFonts w:eastAsia="PMingLiU"/>
          <w:lang w:eastAsia="zh-TW"/>
        </w:rPr>
        <w:t>xisting fields</w:t>
      </w:r>
    </w:p>
    <w:p w:rsidR="00BE59EE" w:rsidRPr="00F02371" w:rsidRDefault="007E01E8" w:rsidP="00BE59EE">
      <w:pPr>
        <w:rPr>
          <w:lang w:eastAsia="zh-TW"/>
        </w:rPr>
      </w:pPr>
      <w:r>
        <w:rPr>
          <w:noProof/>
          <w:lang w:val="en-US" w:eastAsia="zh-CN" w:bidi="th-TH"/>
        </w:rPr>
        <w:drawing>
          <wp:anchor distT="0" distB="0" distL="114300" distR="114300" simplePos="0" relativeHeight="251662848" behindDoc="0" locked="0" layoutInCell="1" allowOverlap="1">
            <wp:simplePos x="0" y="0"/>
            <wp:positionH relativeFrom="column">
              <wp:posOffset>3804285</wp:posOffset>
            </wp:positionH>
            <wp:positionV relativeFrom="paragraph">
              <wp:posOffset>29210</wp:posOffset>
            </wp:positionV>
            <wp:extent cx="1612265" cy="1204595"/>
            <wp:effectExtent l="19050" t="19050" r="26035" b="14605"/>
            <wp:wrapSquare wrapText="bothSides"/>
            <wp:docPr id="50" name="Picture 31"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gibbs\AppData\Local\Microsoft\Windows\Temporary Internet Files\Content.Word\~MyBitmap.bmp"/>
                    <pic:cNvPicPr>
                      <a:picLocks noChangeAspect="1" noChangeArrowheads="1"/>
                    </pic:cNvPicPr>
                  </pic:nvPicPr>
                  <pic:blipFill>
                    <a:blip r:embed="rId17" cstate="print"/>
                    <a:srcRect/>
                    <a:stretch>
                      <a:fillRect/>
                    </a:stretch>
                  </pic:blipFill>
                  <pic:spPr bwMode="auto">
                    <a:xfrm>
                      <a:off x="0" y="0"/>
                      <a:ext cx="1612265" cy="1204595"/>
                    </a:xfrm>
                    <a:prstGeom prst="rect">
                      <a:avLst/>
                    </a:prstGeom>
                    <a:noFill/>
                    <a:ln w="12700">
                      <a:solidFill>
                        <a:srgbClr val="000000"/>
                      </a:solidFill>
                      <a:miter lim="800000"/>
                      <a:headEnd/>
                      <a:tailEnd/>
                    </a:ln>
                  </pic:spPr>
                </pic:pic>
              </a:graphicData>
            </a:graphic>
          </wp:anchor>
        </w:drawing>
      </w:r>
      <w:r w:rsidR="00BE59EE" w:rsidRPr="00F02371">
        <w:rPr>
          <w:lang w:eastAsia="zh-TW"/>
        </w:rPr>
        <w:t>RDA introduces the concept of relationships designators</w:t>
      </w:r>
      <w:r w:rsidR="005E1519" w:rsidRPr="00F02371">
        <w:rPr>
          <w:lang w:eastAsia="zh-TW"/>
        </w:rPr>
        <w:t xml:space="preserve"> which</w:t>
      </w:r>
      <w:r w:rsidR="00BE59EE" w:rsidRPr="00F02371">
        <w:rPr>
          <w:lang w:eastAsia="zh-TW"/>
        </w:rPr>
        <w:t xml:space="preserve"> contains extensive lists of relationships terms that can be used for these designators.  </w:t>
      </w:r>
    </w:p>
    <w:p w:rsidR="005E1519" w:rsidRPr="00F02371" w:rsidRDefault="00BE59EE" w:rsidP="00BE59EE">
      <w:pPr>
        <w:rPr>
          <w:lang w:eastAsia="zh-TW"/>
        </w:rPr>
      </w:pPr>
      <w:r w:rsidRPr="00F02371">
        <w:rPr>
          <w:lang w:eastAsia="zh-TW"/>
        </w:rPr>
        <w:t xml:space="preserve">MARC already makes provision for the recording of relationships so only minor changes have needed to be made to accommodate relationship designators. </w:t>
      </w:r>
      <w:r w:rsidR="00F05E8C" w:rsidRPr="00F02371">
        <w:rPr>
          <w:lang w:eastAsia="zh-TW"/>
        </w:rPr>
        <w:t xml:space="preserve"> </w:t>
      </w:r>
    </w:p>
    <w:p w:rsidR="00264C71" w:rsidRPr="00264C71" w:rsidRDefault="00264C71" w:rsidP="00264C71">
      <w:pPr>
        <w:rPr>
          <w:lang w:val="en-US" w:eastAsia="zh-TW"/>
        </w:rPr>
      </w:pPr>
      <w:r w:rsidRPr="00264C71">
        <w:rPr>
          <w:lang w:eastAsia="zh-TW"/>
        </w:rPr>
        <w:t xml:space="preserve">A list of “relator codes” already existed in MARC, and many of the relationship designators from RDA are already in this list. Those that are not already in the list may be absent either because: </w:t>
      </w:r>
    </w:p>
    <w:p w:rsidR="00264C71" w:rsidRPr="00264C71" w:rsidRDefault="00264C71" w:rsidP="00264C71">
      <w:pPr>
        <w:numPr>
          <w:ilvl w:val="0"/>
          <w:numId w:val="12"/>
        </w:numPr>
        <w:rPr>
          <w:lang w:val="en-US" w:eastAsia="zh-TW"/>
        </w:rPr>
      </w:pPr>
      <w:r w:rsidRPr="00264C71">
        <w:rPr>
          <w:lang w:eastAsia="zh-TW"/>
        </w:rPr>
        <w:t>In some places in the MARC record, MARC itself does not require a controlled vocabulary term or</w:t>
      </w:r>
    </w:p>
    <w:p w:rsidR="00264C71" w:rsidRPr="00264C71" w:rsidRDefault="00264C71" w:rsidP="00264C71">
      <w:pPr>
        <w:numPr>
          <w:ilvl w:val="0"/>
          <w:numId w:val="12"/>
        </w:numPr>
        <w:rPr>
          <w:lang w:val="en-US" w:eastAsia="zh-TW"/>
        </w:rPr>
      </w:pPr>
      <w:r w:rsidRPr="00264C71">
        <w:rPr>
          <w:lang w:eastAsia="zh-TW"/>
        </w:rPr>
        <w:t>MARC has not finished updating the lists.</w:t>
      </w:r>
    </w:p>
    <w:p w:rsidR="0029362E" w:rsidRPr="00264C71" w:rsidRDefault="00264C71" w:rsidP="00264C71">
      <w:pPr>
        <w:rPr>
          <w:lang w:val="en-US" w:eastAsia="zh-TW"/>
        </w:rPr>
      </w:pPr>
      <w:r w:rsidRPr="00264C71">
        <w:rPr>
          <w:lang w:eastAsia="zh-TW"/>
        </w:rPr>
        <w:t xml:space="preserve"> </w:t>
      </w:r>
      <w:r w:rsidR="0029362E" w:rsidRPr="00264C71">
        <w:rPr>
          <w:rFonts w:cs="Calibri"/>
        </w:rPr>
        <w:t xml:space="preserve">[MARC code list for </w:t>
      </w:r>
      <w:proofErr w:type="spellStart"/>
      <w:r w:rsidR="0029362E" w:rsidRPr="00264C71">
        <w:rPr>
          <w:rFonts w:cs="Calibri"/>
        </w:rPr>
        <w:t>re</w:t>
      </w:r>
      <w:r w:rsidR="005E1519" w:rsidRPr="00264C71">
        <w:rPr>
          <w:rFonts w:cs="Calibri"/>
        </w:rPr>
        <w:t>l</w:t>
      </w:r>
      <w:r w:rsidR="0029362E" w:rsidRPr="00264C71">
        <w:rPr>
          <w:rFonts w:cs="Calibri"/>
        </w:rPr>
        <w:t>ators</w:t>
      </w:r>
      <w:proofErr w:type="spellEnd"/>
      <w:r w:rsidR="0029362E" w:rsidRPr="00264C71">
        <w:rPr>
          <w:rFonts w:cs="Calibri"/>
        </w:rPr>
        <w:t xml:space="preserve"> </w:t>
      </w:r>
      <w:hyperlink r:id="rId18" w:history="1">
        <w:r w:rsidR="0029362E" w:rsidRPr="00264C71">
          <w:rPr>
            <w:rStyle w:val="Hyperlink"/>
            <w:rFonts w:cs="Calibri"/>
          </w:rPr>
          <w:t>http://www.loc.gov/marc/relators/relaterm.html</w:t>
        </w:r>
      </w:hyperlink>
      <w:r w:rsidR="005E1519" w:rsidRPr="00264C71">
        <w:rPr>
          <w:rFonts w:cs="Calibri"/>
        </w:rPr>
        <w:t>]</w:t>
      </w:r>
    </w:p>
    <w:p w:rsidR="005E1519" w:rsidRPr="00F02371" w:rsidRDefault="00391587" w:rsidP="00D26A97">
      <w:r w:rsidRPr="00391587">
        <w:rPr>
          <w:noProof/>
          <w:lang w:eastAsia="zh-CN" w:bidi="th-TH"/>
        </w:rPr>
        <w:pict>
          <v:shape id="_x0000_s1046" type="#_x0000_t32" style="position:absolute;margin-left:5.9pt;margin-top:23.4pt;width:431pt;height:0;z-index:251646464" o:connectortype="straight" strokecolor="#7030a0" strokeweight="3pt"/>
        </w:pict>
      </w:r>
    </w:p>
    <w:p w:rsidR="00462166" w:rsidRPr="00F02371" w:rsidRDefault="00462166" w:rsidP="00B50E10">
      <w:pPr>
        <w:pStyle w:val="Heading3"/>
        <w:rPr>
          <w:rFonts w:eastAsia="PMingLiU"/>
          <w:lang w:eastAsia="zh-TW"/>
        </w:rPr>
      </w:pPr>
      <w:r w:rsidRPr="00F02371">
        <w:t>Changing AACR2 authority records to RDA?</w:t>
      </w:r>
      <w:r w:rsidR="000F7945" w:rsidRPr="000F7945">
        <w:t xml:space="preserve"> </w:t>
      </w:r>
    </w:p>
    <w:p w:rsidR="00462166" w:rsidRPr="00F02371" w:rsidRDefault="007E01E8" w:rsidP="00D63624">
      <w:pPr>
        <w:rPr>
          <w:lang w:eastAsia="zh-TW"/>
        </w:rPr>
      </w:pPr>
      <w:r>
        <w:rPr>
          <w:noProof/>
          <w:lang w:val="en-US" w:eastAsia="zh-CN" w:bidi="th-TH"/>
        </w:rPr>
        <w:drawing>
          <wp:anchor distT="0" distB="0" distL="114300" distR="114300" simplePos="0" relativeHeight="251663872" behindDoc="0" locked="0" layoutInCell="1" allowOverlap="1">
            <wp:simplePos x="0" y="0"/>
            <wp:positionH relativeFrom="column">
              <wp:posOffset>3799205</wp:posOffset>
            </wp:positionH>
            <wp:positionV relativeFrom="paragraph">
              <wp:posOffset>80010</wp:posOffset>
            </wp:positionV>
            <wp:extent cx="1614805" cy="1212850"/>
            <wp:effectExtent l="19050" t="19050" r="23495" b="25400"/>
            <wp:wrapSquare wrapText="bothSides"/>
            <wp:docPr id="51" name="Picture 51"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yBitmap"/>
                    <pic:cNvPicPr>
                      <a:picLocks noChangeAspect="1" noChangeArrowheads="1"/>
                    </pic:cNvPicPr>
                  </pic:nvPicPr>
                  <pic:blipFill>
                    <a:blip r:embed="rId19" cstate="print"/>
                    <a:srcRect/>
                    <a:stretch>
                      <a:fillRect/>
                    </a:stretch>
                  </pic:blipFill>
                  <pic:spPr bwMode="auto">
                    <a:xfrm>
                      <a:off x="0" y="0"/>
                      <a:ext cx="1614805" cy="1212850"/>
                    </a:xfrm>
                    <a:prstGeom prst="rect">
                      <a:avLst/>
                    </a:prstGeom>
                    <a:noFill/>
                    <a:ln w="12700">
                      <a:solidFill>
                        <a:srgbClr val="000000"/>
                      </a:solidFill>
                      <a:miter lim="800000"/>
                      <a:headEnd/>
                      <a:tailEnd/>
                    </a:ln>
                  </pic:spPr>
                </pic:pic>
              </a:graphicData>
            </a:graphic>
          </wp:anchor>
        </w:drawing>
      </w:r>
      <w:r w:rsidR="00462166" w:rsidRPr="00F02371">
        <w:rPr>
          <w:lang w:eastAsia="zh-TW"/>
        </w:rPr>
        <w:t>All of the above will raise questions in our minds about dealing with legacy AACR2 authority data.  Whatever approach is taken comes with advantages, disadvantages and resource challenges</w:t>
      </w:r>
      <w:r w:rsidR="005E1519" w:rsidRPr="00F02371">
        <w:rPr>
          <w:lang w:eastAsia="zh-TW"/>
        </w:rPr>
        <w:t>. T</w:t>
      </w:r>
      <w:r w:rsidR="00462166" w:rsidRPr="00F02371">
        <w:rPr>
          <w:lang w:eastAsia="zh-TW"/>
        </w:rPr>
        <w:t xml:space="preserve">he issues are difficult for individual libraries to resolve in isolation, given the shared environment in which we now operate.  </w:t>
      </w:r>
    </w:p>
    <w:p w:rsidR="00872D33" w:rsidRPr="00F02371" w:rsidRDefault="00462166" w:rsidP="00D63624">
      <w:pPr>
        <w:rPr>
          <w:lang w:eastAsia="zh-TW"/>
        </w:rPr>
      </w:pPr>
      <w:r w:rsidRPr="00F02371">
        <w:rPr>
          <w:lang w:eastAsia="zh-TW"/>
        </w:rPr>
        <w:t xml:space="preserve">Decisions about whether to make retrospective changes to legacy data will therefore need to be considered at local, national and international levels. </w:t>
      </w:r>
    </w:p>
    <w:p w:rsidR="00872D33" w:rsidRPr="00F02371" w:rsidRDefault="00391587" w:rsidP="00E31BC5">
      <w:pPr>
        <w:rPr>
          <w:lang w:eastAsia="zh-TW"/>
        </w:rPr>
      </w:pPr>
      <w:r w:rsidRPr="00391587">
        <w:rPr>
          <w:noProof/>
          <w:lang w:eastAsia="zh-CN" w:bidi="th-TH"/>
        </w:rPr>
        <w:pict>
          <v:shape id="_x0000_s1047" type="#_x0000_t32" style="position:absolute;margin-left:13.5pt;margin-top:48.95pt;width:431pt;height:0;z-index:251647488" o:connectortype="straight" strokecolor="#7030a0" strokeweight="3pt"/>
        </w:pict>
      </w:r>
      <w:r w:rsidR="00462166" w:rsidRPr="00F02371">
        <w:rPr>
          <w:lang w:eastAsia="zh-TW"/>
        </w:rPr>
        <w:t>Discussions are already taking place both within Australia</w:t>
      </w:r>
      <w:r w:rsidR="00872D33" w:rsidRPr="00F02371">
        <w:rPr>
          <w:lang w:eastAsia="zh-TW"/>
        </w:rPr>
        <w:t xml:space="preserve"> and on the international scene</w:t>
      </w:r>
      <w:r w:rsidR="00462166" w:rsidRPr="00F02371">
        <w:rPr>
          <w:lang w:eastAsia="zh-TW"/>
        </w:rPr>
        <w:t xml:space="preserve"> but individual libraries will also need to consider these issues for their local catalogues.</w:t>
      </w:r>
    </w:p>
    <w:p w:rsidR="00264C71" w:rsidRDefault="00264C71" w:rsidP="0092272B">
      <w:pPr>
        <w:pStyle w:val="Heading2"/>
        <w:rPr>
          <w:lang w:eastAsia="zh-TW"/>
        </w:rPr>
      </w:pPr>
    </w:p>
    <w:p w:rsidR="0092272B" w:rsidRPr="00F02371" w:rsidRDefault="000E7DAA" w:rsidP="00B50E10">
      <w:pPr>
        <w:pStyle w:val="Heading3"/>
        <w:rPr>
          <w:lang w:eastAsia="zh-TW"/>
        </w:rPr>
      </w:pPr>
      <w:r>
        <w:rPr>
          <w:rFonts w:ascii="Calibri" w:eastAsia="PMingLiU" w:hAnsi="Calibri"/>
          <w:noProof/>
          <w:szCs w:val="22"/>
          <w:lang w:val="en-US" w:eastAsia="zh-CN" w:bidi="th-TH"/>
        </w:rPr>
        <w:drawing>
          <wp:anchor distT="0" distB="0" distL="114300" distR="114300" simplePos="0" relativeHeight="251664896" behindDoc="0" locked="0" layoutInCell="1" allowOverlap="1">
            <wp:simplePos x="0" y="0"/>
            <wp:positionH relativeFrom="column">
              <wp:posOffset>3796665</wp:posOffset>
            </wp:positionH>
            <wp:positionV relativeFrom="paragraph">
              <wp:posOffset>139065</wp:posOffset>
            </wp:positionV>
            <wp:extent cx="1617345" cy="1209040"/>
            <wp:effectExtent l="19050" t="19050" r="20955" b="10160"/>
            <wp:wrapSquare wrapText="bothSides"/>
            <wp:docPr id="52" name="Picture 34"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rgibbs\AppData\Local\Microsoft\Windows\Temporary Internet Files\Content.Word\~MyBitmap.bmp"/>
                    <pic:cNvPicPr>
                      <a:picLocks noChangeAspect="1" noChangeArrowheads="1"/>
                    </pic:cNvPicPr>
                  </pic:nvPicPr>
                  <pic:blipFill>
                    <a:blip r:embed="rId20" cstate="print"/>
                    <a:srcRect/>
                    <a:stretch>
                      <a:fillRect/>
                    </a:stretch>
                  </pic:blipFill>
                  <pic:spPr bwMode="auto">
                    <a:xfrm>
                      <a:off x="0" y="0"/>
                      <a:ext cx="1617345" cy="1209040"/>
                    </a:xfrm>
                    <a:prstGeom prst="rect">
                      <a:avLst/>
                    </a:prstGeom>
                    <a:noFill/>
                    <a:ln w="12700">
                      <a:solidFill>
                        <a:srgbClr val="000000"/>
                      </a:solidFill>
                      <a:miter lim="800000"/>
                      <a:headEnd/>
                      <a:tailEnd/>
                    </a:ln>
                  </pic:spPr>
                </pic:pic>
              </a:graphicData>
            </a:graphic>
          </wp:anchor>
        </w:drawing>
      </w:r>
      <w:r w:rsidR="0092272B" w:rsidRPr="00F02371">
        <w:rPr>
          <w:lang w:eastAsia="zh-TW"/>
        </w:rPr>
        <w:t>Example authority records</w:t>
      </w:r>
    </w:p>
    <w:p w:rsidR="005D60FF" w:rsidRPr="00F02371" w:rsidRDefault="00D26A97" w:rsidP="005D60FF">
      <w:pPr>
        <w:rPr>
          <w:lang w:eastAsia="zh-TW"/>
        </w:rPr>
      </w:pPr>
      <w:r w:rsidRPr="00D26A97">
        <w:rPr>
          <w:lang w:eastAsia="zh-TW"/>
        </w:rPr>
        <w:t>So let’s just refresh ourselves by looking again at the examples we saw in Module 8, to see how o</w:t>
      </w:r>
      <w:r>
        <w:rPr>
          <w:lang w:eastAsia="zh-TW"/>
        </w:rPr>
        <w:t>ur authority records may change</w:t>
      </w:r>
      <w:r w:rsidR="005D60FF" w:rsidRPr="00F02371">
        <w:rPr>
          <w:lang w:eastAsia="zh-TW"/>
        </w:rPr>
        <w:t>.</w:t>
      </w:r>
      <w:r w:rsidR="000F7945" w:rsidRPr="000F7945">
        <w:rPr>
          <w:noProof/>
        </w:rPr>
        <w:t xml:space="preserve"> </w:t>
      </w:r>
    </w:p>
    <w:p w:rsidR="00222CE7" w:rsidRPr="00F02371" w:rsidRDefault="00222CE7" w:rsidP="00222CE7">
      <w:pPr>
        <w:rPr>
          <w:b/>
          <w:bCs/>
          <w:lang w:eastAsia="zh-TW"/>
        </w:rPr>
      </w:pPr>
      <w:r w:rsidRPr="00F02371">
        <w:rPr>
          <w:lang w:eastAsia="zh-TW"/>
        </w:rPr>
        <w:t xml:space="preserve">The first example is a brief authority record for </w:t>
      </w:r>
      <w:r w:rsidRPr="00F02371">
        <w:rPr>
          <w:b/>
          <w:bCs/>
          <w:lang w:eastAsia="zh-TW"/>
        </w:rPr>
        <w:t xml:space="preserve">Simon </w:t>
      </w:r>
      <w:proofErr w:type="spellStart"/>
      <w:r w:rsidRPr="00F02371">
        <w:rPr>
          <w:b/>
          <w:bCs/>
          <w:lang w:eastAsia="zh-TW"/>
        </w:rPr>
        <w:t>Scarrow</w:t>
      </w:r>
      <w:proofErr w:type="spellEnd"/>
      <w:r w:rsidRPr="00F02371">
        <w:rPr>
          <w:b/>
          <w:bCs/>
          <w:lang w:eastAsia="zh-TW"/>
        </w:rPr>
        <w:t xml:space="preserve">. </w:t>
      </w:r>
      <w:r w:rsidRPr="00F02371">
        <w:rPr>
          <w:lang w:eastAsia="zh-TW"/>
        </w:rPr>
        <w:t>There is some information recorded in the 670 that helps to identify Simon, including that he is a college teacher in England.</w:t>
      </w:r>
      <w:r w:rsidRPr="00F02371">
        <w:rPr>
          <w:b/>
          <w:bCs/>
          <w:lang w:eastAsia="zh-TW"/>
        </w:rPr>
        <w:t xml:space="preserve"> </w:t>
      </w:r>
    </w:p>
    <w:p w:rsidR="00872D33" w:rsidRPr="00F02371" w:rsidRDefault="00391587" w:rsidP="00222CE7">
      <w:pPr>
        <w:rPr>
          <w:b/>
          <w:bCs/>
          <w:lang w:eastAsia="zh-TW"/>
        </w:rPr>
      </w:pPr>
      <w:r w:rsidRPr="00391587">
        <w:rPr>
          <w:noProof/>
          <w:lang w:val="en-US" w:eastAsia="zh-CN" w:bidi="th-TH"/>
        </w:rPr>
        <w:pict>
          <v:shape id="_x0000_s1077" type="#_x0000_t32" style="position:absolute;margin-left:10.8pt;margin-top:8.75pt;width:431pt;height:0;z-index:251665920" o:connectortype="straight" strokecolor="#7030a0" strokeweight="3pt"/>
        </w:pict>
      </w:r>
    </w:p>
    <w:p w:rsidR="00872D33" w:rsidRPr="00F02371" w:rsidRDefault="007E01E8" w:rsidP="00222CE7">
      <w:pPr>
        <w:rPr>
          <w:lang w:eastAsia="zh-TW"/>
        </w:rPr>
      </w:pPr>
      <w:r>
        <w:rPr>
          <w:noProof/>
          <w:lang w:val="en-US" w:eastAsia="zh-CN" w:bidi="th-TH"/>
        </w:rPr>
        <w:lastRenderedPageBreak/>
        <w:drawing>
          <wp:anchor distT="0" distB="0" distL="114300" distR="114300" simplePos="0" relativeHeight="251666944" behindDoc="0" locked="0" layoutInCell="1" allowOverlap="1">
            <wp:simplePos x="0" y="0"/>
            <wp:positionH relativeFrom="column">
              <wp:posOffset>3830955</wp:posOffset>
            </wp:positionH>
            <wp:positionV relativeFrom="paragraph">
              <wp:posOffset>147955</wp:posOffset>
            </wp:positionV>
            <wp:extent cx="1615440" cy="1218565"/>
            <wp:effectExtent l="19050" t="19050" r="22860" b="19685"/>
            <wp:wrapSquare wrapText="bothSides"/>
            <wp:docPr id="54" name="Picture 54"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yBitmap"/>
                    <pic:cNvPicPr>
                      <a:picLocks noChangeAspect="1" noChangeArrowheads="1"/>
                    </pic:cNvPicPr>
                  </pic:nvPicPr>
                  <pic:blipFill>
                    <a:blip r:embed="rId21" cstate="print"/>
                    <a:srcRect/>
                    <a:stretch>
                      <a:fillRect/>
                    </a:stretch>
                  </pic:blipFill>
                  <pic:spPr bwMode="auto">
                    <a:xfrm>
                      <a:off x="0" y="0"/>
                      <a:ext cx="1615440" cy="1218565"/>
                    </a:xfrm>
                    <a:prstGeom prst="rect">
                      <a:avLst/>
                    </a:prstGeom>
                    <a:noFill/>
                    <a:ln w="12700">
                      <a:solidFill>
                        <a:srgbClr val="000000"/>
                      </a:solidFill>
                      <a:miter lim="800000"/>
                      <a:headEnd/>
                      <a:tailEnd/>
                    </a:ln>
                  </pic:spPr>
                </pic:pic>
              </a:graphicData>
            </a:graphic>
          </wp:anchor>
        </w:drawing>
      </w:r>
      <w:r w:rsidR="00BA7A30" w:rsidRPr="00F02371">
        <w:rPr>
          <w:lang w:eastAsia="zh-TW"/>
        </w:rPr>
        <w:t>Here is the same record with extra RDA elements added</w:t>
      </w:r>
    </w:p>
    <w:p w:rsidR="008D047C" w:rsidRPr="00F02371" w:rsidRDefault="008D047C" w:rsidP="008D047C">
      <w:pPr>
        <w:rPr>
          <w:lang w:eastAsia="zh-TW"/>
        </w:rPr>
      </w:pPr>
      <w:r w:rsidRPr="00F02371">
        <w:rPr>
          <w:lang w:eastAsia="zh-TW"/>
        </w:rPr>
        <w:t>040 - $e indicates this is an RDA record</w:t>
      </w:r>
    </w:p>
    <w:p w:rsidR="008D047C" w:rsidRPr="00F02371" w:rsidRDefault="008D047C" w:rsidP="008D047C">
      <w:pPr>
        <w:rPr>
          <w:lang w:eastAsia="zh-TW"/>
        </w:rPr>
      </w:pPr>
      <w:r w:rsidRPr="00F02371">
        <w:rPr>
          <w:lang w:eastAsia="zh-TW"/>
        </w:rPr>
        <w:t>374 – Occupation from RDA 9.16</w:t>
      </w:r>
    </w:p>
    <w:p w:rsidR="008D047C" w:rsidRPr="00F02371" w:rsidRDefault="008D047C" w:rsidP="008D047C">
      <w:pPr>
        <w:rPr>
          <w:lang w:eastAsia="zh-TW"/>
        </w:rPr>
      </w:pPr>
      <w:r w:rsidRPr="00F02371">
        <w:rPr>
          <w:lang w:eastAsia="zh-TW"/>
        </w:rPr>
        <w:t>375 – Gender from RDA 9.7</w:t>
      </w:r>
    </w:p>
    <w:p w:rsidR="008D047C" w:rsidRPr="00F02371" w:rsidRDefault="008D047C" w:rsidP="008D047C">
      <w:pPr>
        <w:rPr>
          <w:lang w:eastAsia="zh-TW"/>
        </w:rPr>
      </w:pPr>
      <w:r w:rsidRPr="00F02371">
        <w:rPr>
          <w:lang w:eastAsia="zh-TW"/>
        </w:rPr>
        <w:t xml:space="preserve">377 – </w:t>
      </w:r>
      <w:proofErr w:type="gramStart"/>
      <w:r w:rsidRPr="00F02371">
        <w:rPr>
          <w:lang w:eastAsia="zh-TW"/>
        </w:rPr>
        <w:t>language</w:t>
      </w:r>
      <w:proofErr w:type="gramEnd"/>
      <w:r w:rsidRPr="00F02371">
        <w:rPr>
          <w:lang w:eastAsia="zh-TW"/>
        </w:rPr>
        <w:t xml:space="preserve"> from RDA 9.14 (RDA instructs to record the language used by a person in their activity, however the marc $a is the code from the marc language code lists.</w:t>
      </w:r>
    </w:p>
    <w:p w:rsidR="00872D33" w:rsidRPr="00F02371" w:rsidRDefault="00391587" w:rsidP="00222CE7">
      <w:pPr>
        <w:rPr>
          <w:b/>
          <w:bCs/>
          <w:lang w:eastAsia="zh-TW"/>
        </w:rPr>
      </w:pPr>
      <w:r w:rsidRPr="00391587">
        <w:rPr>
          <w:noProof/>
          <w:lang w:eastAsia="zh-CN" w:bidi="th-TH"/>
        </w:rPr>
        <w:pict>
          <v:shape id="_x0000_s1051" type="#_x0000_t32" style="position:absolute;margin-left:15.8pt;margin-top:3.55pt;width:431pt;height:0;z-index:251648512" o:connectortype="straight" strokecolor="#7030a0" strokeweight="3pt"/>
        </w:pict>
      </w:r>
    </w:p>
    <w:p w:rsidR="00DF22E8" w:rsidRPr="00F02371" w:rsidRDefault="000E7DAA" w:rsidP="00DF22E8">
      <w:pPr>
        <w:rPr>
          <w:lang w:eastAsia="zh-TW"/>
        </w:rPr>
      </w:pPr>
      <w:r>
        <w:rPr>
          <w:noProof/>
          <w:lang w:val="en-US" w:eastAsia="zh-CN" w:bidi="th-TH"/>
        </w:rPr>
        <w:drawing>
          <wp:anchor distT="0" distB="0" distL="114300" distR="114300" simplePos="0" relativeHeight="251667968" behindDoc="0" locked="0" layoutInCell="1" allowOverlap="1">
            <wp:simplePos x="0" y="0"/>
            <wp:positionH relativeFrom="column">
              <wp:posOffset>3829050</wp:posOffset>
            </wp:positionH>
            <wp:positionV relativeFrom="paragraph">
              <wp:posOffset>148590</wp:posOffset>
            </wp:positionV>
            <wp:extent cx="1617345" cy="1225550"/>
            <wp:effectExtent l="19050" t="19050" r="20955" b="12700"/>
            <wp:wrapSquare wrapText="bothSides"/>
            <wp:docPr id="55" name="Picture 37"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gibbs\AppData\Local\Microsoft\Windows\Temporary Internet Files\Content.Word\~MyBitmap.bmp"/>
                    <pic:cNvPicPr>
                      <a:picLocks noChangeAspect="1" noChangeArrowheads="1"/>
                    </pic:cNvPicPr>
                  </pic:nvPicPr>
                  <pic:blipFill>
                    <a:blip r:embed="rId22" cstate="print"/>
                    <a:srcRect/>
                    <a:stretch>
                      <a:fillRect/>
                    </a:stretch>
                  </pic:blipFill>
                  <pic:spPr bwMode="auto">
                    <a:xfrm>
                      <a:off x="0" y="0"/>
                      <a:ext cx="1617345" cy="1225550"/>
                    </a:xfrm>
                    <a:prstGeom prst="rect">
                      <a:avLst/>
                    </a:prstGeom>
                    <a:noFill/>
                    <a:ln w="12700">
                      <a:solidFill>
                        <a:srgbClr val="000000"/>
                      </a:solidFill>
                      <a:miter lim="800000"/>
                      <a:headEnd/>
                      <a:tailEnd/>
                    </a:ln>
                  </pic:spPr>
                </pic:pic>
              </a:graphicData>
            </a:graphic>
          </wp:anchor>
        </w:drawing>
      </w:r>
      <w:r w:rsidR="00DF22E8" w:rsidRPr="00F02371">
        <w:rPr>
          <w:lang w:eastAsia="zh-TW"/>
        </w:rPr>
        <w:t xml:space="preserve">This RDA authority record, for Anna Marie Johnson, gives us this same information, but in a much more readable and dynamic way.  It’s still in the 670, but now each piece of information that helps us uniquely identify Anna is </w:t>
      </w:r>
      <w:r w:rsidR="00DF22E8" w:rsidRPr="00F02371">
        <w:rPr>
          <w:i/>
          <w:iCs/>
          <w:lang w:eastAsia="zh-TW"/>
        </w:rPr>
        <w:t>also</w:t>
      </w:r>
      <w:r w:rsidR="00DF22E8" w:rsidRPr="00F02371">
        <w:rPr>
          <w:lang w:eastAsia="zh-TW"/>
        </w:rPr>
        <w:t xml:space="preserve"> now in its own element.  We can immediately see that she is a female theologian at the Garrett Theological Seminary and that her native language is English.  In the previous example, this information was buried in the 670 field and not as easy to see. Not </w:t>
      </w:r>
      <w:proofErr w:type="gramStart"/>
      <w:r w:rsidR="00DF22E8" w:rsidRPr="00F02371">
        <w:rPr>
          <w:lang w:eastAsia="zh-TW"/>
        </w:rPr>
        <w:t>only that</w:t>
      </w:r>
      <w:proofErr w:type="gramEnd"/>
      <w:r w:rsidR="00DF22E8" w:rsidRPr="00F02371">
        <w:rPr>
          <w:lang w:eastAsia="zh-TW"/>
        </w:rPr>
        <w:t xml:space="preserve">, but computer systems can’t distinguish between the different pieces of information contained in that field.  </w:t>
      </w:r>
    </w:p>
    <w:p w:rsidR="00872D33" w:rsidRPr="00F02371" w:rsidRDefault="007E01E8" w:rsidP="00DF22E8">
      <w:pPr>
        <w:rPr>
          <w:lang w:eastAsia="zh-TW"/>
        </w:rPr>
      </w:pPr>
      <w:r>
        <w:rPr>
          <w:noProof/>
          <w:lang w:val="en-US" w:eastAsia="zh-CN" w:bidi="th-TH"/>
        </w:rPr>
        <w:drawing>
          <wp:anchor distT="0" distB="0" distL="114300" distR="114300" simplePos="0" relativeHeight="251668992" behindDoc="0" locked="0" layoutInCell="1" allowOverlap="1">
            <wp:simplePos x="0" y="0"/>
            <wp:positionH relativeFrom="column">
              <wp:posOffset>3829050</wp:posOffset>
            </wp:positionH>
            <wp:positionV relativeFrom="paragraph">
              <wp:posOffset>471805</wp:posOffset>
            </wp:positionV>
            <wp:extent cx="1617345" cy="1191260"/>
            <wp:effectExtent l="19050" t="19050" r="20955" b="27940"/>
            <wp:wrapSquare wrapText="bothSides"/>
            <wp:docPr id="56" name="Picture 40"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gibbs\AppData\Local\Microsoft\Windows\Temporary Internet Files\Content.Word\~MyBitmap.bmp"/>
                    <pic:cNvPicPr>
                      <a:picLocks noChangeAspect="1" noChangeArrowheads="1"/>
                    </pic:cNvPicPr>
                  </pic:nvPicPr>
                  <pic:blipFill>
                    <a:blip r:embed="rId23" cstate="print"/>
                    <a:srcRect/>
                    <a:stretch>
                      <a:fillRect/>
                    </a:stretch>
                  </pic:blipFill>
                  <pic:spPr bwMode="auto">
                    <a:xfrm>
                      <a:off x="0" y="0"/>
                      <a:ext cx="1617345" cy="1191260"/>
                    </a:xfrm>
                    <a:prstGeom prst="rect">
                      <a:avLst/>
                    </a:prstGeom>
                    <a:noFill/>
                    <a:ln w="12700">
                      <a:solidFill>
                        <a:srgbClr val="000000"/>
                      </a:solidFill>
                      <a:miter lim="800000"/>
                      <a:headEnd/>
                      <a:tailEnd/>
                    </a:ln>
                  </pic:spPr>
                </pic:pic>
              </a:graphicData>
            </a:graphic>
          </wp:anchor>
        </w:drawing>
      </w:r>
      <w:r w:rsidR="00391587" w:rsidRPr="00391587">
        <w:rPr>
          <w:noProof/>
          <w:lang w:eastAsia="zh-CN" w:bidi="th-TH"/>
        </w:rPr>
        <w:pict>
          <v:shape id="_x0000_s1052" type="#_x0000_t32" style="position:absolute;margin-left:6pt;margin-top:12.2pt;width:431pt;height:0;z-index:251649536;mso-position-horizontal-relative:text;mso-position-vertical-relative:text" o:connectortype="straight" strokecolor="#7030a0" strokeweight="3pt"/>
        </w:pict>
      </w:r>
    </w:p>
    <w:p w:rsidR="00222CE7" w:rsidRPr="00F02371" w:rsidRDefault="00222CE7" w:rsidP="00222CE7">
      <w:pPr>
        <w:rPr>
          <w:lang w:eastAsia="zh-TW"/>
        </w:rPr>
      </w:pPr>
      <w:r w:rsidRPr="00F02371">
        <w:rPr>
          <w:lang w:eastAsia="zh-TW"/>
        </w:rPr>
        <w:t xml:space="preserve">Here’s another example, for Lynn Chamberlain, who has two occupations, and works for an organisation in Utah.  The interesting thing here worth noting is that it is a good example of where the “Gender” information can be very useful.  Gender is not always immediately obvious from the name itself. </w:t>
      </w:r>
    </w:p>
    <w:p w:rsidR="00872D33" w:rsidRPr="00F02371" w:rsidRDefault="00872D33" w:rsidP="00222CE7">
      <w:pPr>
        <w:rPr>
          <w:lang w:eastAsia="zh-TW"/>
        </w:rPr>
      </w:pPr>
    </w:p>
    <w:p w:rsidR="00872D33" w:rsidRPr="00F02371" w:rsidRDefault="00391587" w:rsidP="00222CE7">
      <w:pPr>
        <w:rPr>
          <w:lang w:eastAsia="zh-TW"/>
        </w:rPr>
      </w:pPr>
      <w:r w:rsidRPr="00391587">
        <w:rPr>
          <w:noProof/>
          <w:lang w:eastAsia="zh-CN" w:bidi="th-TH"/>
        </w:rPr>
        <w:pict>
          <v:shape id="_x0000_s1054" type="#_x0000_t32" style="position:absolute;margin-left:6pt;margin-top:9.9pt;width:431pt;height:0;z-index:251650560" o:connectortype="straight" strokecolor="#7030a0" strokeweight="3pt"/>
        </w:pict>
      </w:r>
    </w:p>
    <w:p w:rsidR="008D047C" w:rsidRDefault="000E7DAA" w:rsidP="00E31BC5">
      <w:pPr>
        <w:tabs>
          <w:tab w:val="left" w:pos="5812"/>
        </w:tabs>
        <w:rPr>
          <w:lang w:eastAsia="zh-TW"/>
        </w:rPr>
      </w:pPr>
      <w:r>
        <w:rPr>
          <w:noProof/>
          <w:lang w:val="en-US" w:eastAsia="zh-CN" w:bidi="th-TH"/>
        </w:rPr>
        <w:drawing>
          <wp:anchor distT="0" distB="0" distL="114300" distR="114300" simplePos="0" relativeHeight="251670016" behindDoc="0" locked="0" layoutInCell="1" allowOverlap="1">
            <wp:simplePos x="0" y="0"/>
            <wp:positionH relativeFrom="column">
              <wp:posOffset>3830955</wp:posOffset>
            </wp:positionH>
            <wp:positionV relativeFrom="paragraph">
              <wp:posOffset>100330</wp:posOffset>
            </wp:positionV>
            <wp:extent cx="1614805" cy="1204595"/>
            <wp:effectExtent l="19050" t="19050" r="23495" b="14605"/>
            <wp:wrapSquare wrapText="bothSides"/>
            <wp:docPr id="57" name="Picture 43"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gibbs\AppData\Local\Microsoft\Windows\Temporary Internet Files\Content.Word\~MyBitmap.bmp"/>
                    <pic:cNvPicPr>
                      <a:picLocks noChangeAspect="1" noChangeArrowheads="1"/>
                    </pic:cNvPicPr>
                  </pic:nvPicPr>
                  <pic:blipFill>
                    <a:blip r:embed="rId24" cstate="print"/>
                    <a:srcRect/>
                    <a:stretch>
                      <a:fillRect/>
                    </a:stretch>
                  </pic:blipFill>
                  <pic:spPr bwMode="auto">
                    <a:xfrm>
                      <a:off x="0" y="0"/>
                      <a:ext cx="1614805" cy="1204595"/>
                    </a:xfrm>
                    <a:prstGeom prst="rect">
                      <a:avLst/>
                    </a:prstGeom>
                    <a:noFill/>
                    <a:ln w="12700">
                      <a:solidFill>
                        <a:srgbClr val="000000"/>
                      </a:solidFill>
                      <a:miter lim="800000"/>
                      <a:headEnd/>
                      <a:tailEnd/>
                    </a:ln>
                  </pic:spPr>
                </pic:pic>
              </a:graphicData>
            </a:graphic>
          </wp:anchor>
        </w:drawing>
      </w:r>
      <w:r w:rsidR="00222CE7" w:rsidRPr="00F02371">
        <w:rPr>
          <w:lang w:eastAsia="zh-TW"/>
        </w:rPr>
        <w:t xml:space="preserve">Here’s an authority record for a Company, called Bridge Builders International. Here there is a whole lot of new information we are not used to recording in our authority records, but it’s immediately obvious how useful it is.  We can see that the company has associations with two countries, and that they are involved in Christian ministry, something not obvious from the name of the Company. </w:t>
      </w:r>
    </w:p>
    <w:p w:rsidR="00222CE7" w:rsidRPr="00F02371" w:rsidRDefault="00222CE7" w:rsidP="00222CE7">
      <w:pPr>
        <w:rPr>
          <w:lang w:eastAsia="zh-TW"/>
        </w:rPr>
      </w:pPr>
      <w:r w:rsidRPr="00F02371">
        <w:rPr>
          <w:lang w:eastAsia="zh-TW"/>
        </w:rPr>
        <w:t>There is also address information, in case a user wants to contact the company.</w:t>
      </w:r>
    </w:p>
    <w:p w:rsidR="00872D33" w:rsidRPr="00F02371" w:rsidRDefault="00391587" w:rsidP="00222CE7">
      <w:pPr>
        <w:rPr>
          <w:lang w:eastAsia="zh-TW"/>
        </w:rPr>
      </w:pPr>
      <w:r w:rsidRPr="00391587">
        <w:rPr>
          <w:noProof/>
          <w:lang w:eastAsia="zh-CN" w:bidi="th-TH"/>
        </w:rPr>
        <w:pict>
          <v:shape id="_x0000_s1056" type="#_x0000_t32" style="position:absolute;margin-left:5.5pt;margin-top:12.5pt;width:431pt;height:0;z-index:251651584" o:connectortype="straight" strokecolor="#7030a0" strokeweight="3pt"/>
        </w:pict>
      </w:r>
    </w:p>
    <w:p w:rsidR="00222CE7" w:rsidRPr="00F02371" w:rsidRDefault="000E7DAA" w:rsidP="00222CE7">
      <w:pPr>
        <w:rPr>
          <w:lang w:eastAsia="zh-TW"/>
        </w:rPr>
      </w:pPr>
      <w:r>
        <w:rPr>
          <w:noProof/>
          <w:lang w:val="en-US" w:eastAsia="zh-CN" w:bidi="th-TH"/>
        </w:rPr>
        <w:lastRenderedPageBreak/>
        <w:drawing>
          <wp:anchor distT="0" distB="0" distL="114300" distR="114300" simplePos="0" relativeHeight="251671040" behindDoc="0" locked="0" layoutInCell="1" allowOverlap="1">
            <wp:simplePos x="0" y="0"/>
            <wp:positionH relativeFrom="column">
              <wp:posOffset>3978910</wp:posOffset>
            </wp:positionH>
            <wp:positionV relativeFrom="paragraph">
              <wp:posOffset>205740</wp:posOffset>
            </wp:positionV>
            <wp:extent cx="1617345" cy="1221105"/>
            <wp:effectExtent l="19050" t="19050" r="20955" b="17145"/>
            <wp:wrapSquare wrapText="bothSides"/>
            <wp:docPr id="58" name="Picture 46" descr="C:\Users\rgibbs\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gibbs\AppData\Local\Microsoft\Windows\Temporary Internet Files\Content.Word\~MyBitmap.bmp"/>
                    <pic:cNvPicPr>
                      <a:picLocks noChangeAspect="1" noChangeArrowheads="1"/>
                    </pic:cNvPicPr>
                  </pic:nvPicPr>
                  <pic:blipFill>
                    <a:blip r:embed="rId25" cstate="print"/>
                    <a:srcRect/>
                    <a:stretch>
                      <a:fillRect/>
                    </a:stretch>
                  </pic:blipFill>
                  <pic:spPr bwMode="auto">
                    <a:xfrm>
                      <a:off x="0" y="0"/>
                      <a:ext cx="1617345" cy="1221105"/>
                    </a:xfrm>
                    <a:prstGeom prst="rect">
                      <a:avLst/>
                    </a:prstGeom>
                    <a:noFill/>
                    <a:ln w="12700">
                      <a:solidFill>
                        <a:srgbClr val="000000"/>
                      </a:solidFill>
                      <a:miter lim="800000"/>
                      <a:headEnd/>
                      <a:tailEnd/>
                    </a:ln>
                  </pic:spPr>
                </pic:pic>
              </a:graphicData>
            </a:graphic>
          </wp:anchor>
        </w:drawing>
      </w:r>
      <w:r w:rsidR="00222CE7" w:rsidRPr="00F02371">
        <w:rPr>
          <w:lang w:eastAsia="zh-TW"/>
        </w:rPr>
        <w:t>There’s just one last example I’ll show you, to illustrate something that happened during the US RDA test.</w:t>
      </w:r>
    </w:p>
    <w:p w:rsidR="00222CE7" w:rsidRPr="00F02371" w:rsidRDefault="00222CE7" w:rsidP="00222CE7">
      <w:pPr>
        <w:rPr>
          <w:lang w:eastAsia="zh-TW"/>
        </w:rPr>
      </w:pPr>
      <w:r w:rsidRPr="00F02371">
        <w:rPr>
          <w:lang w:eastAsia="zh-TW"/>
        </w:rPr>
        <w:t xml:space="preserve">While conducting the Test in 2010, a decision was made that if an AACR2 authority record already existed for an entity, but the form of name did not conform to RDA practice, the record would </w:t>
      </w:r>
      <w:r w:rsidRPr="00F02371">
        <w:rPr>
          <w:b/>
          <w:bCs/>
          <w:lang w:eastAsia="zh-TW"/>
        </w:rPr>
        <w:t xml:space="preserve">not </w:t>
      </w:r>
      <w:r w:rsidRPr="00F02371">
        <w:rPr>
          <w:lang w:eastAsia="zh-TW"/>
        </w:rPr>
        <w:t>be changed, so as not to disrupt its use with AACR2 cataloguing.  Instead, the RDA form of the name was placed in a 700 field.</w:t>
      </w:r>
    </w:p>
    <w:p w:rsidR="00222CE7" w:rsidRPr="00F02371" w:rsidRDefault="00391587" w:rsidP="00222CE7">
      <w:pPr>
        <w:rPr>
          <w:lang w:eastAsia="zh-TW"/>
        </w:rPr>
      </w:pPr>
      <w:r w:rsidRPr="00391587">
        <w:rPr>
          <w:noProof/>
          <w:lang w:eastAsia="zh-CN" w:bidi="th-TH"/>
        </w:rPr>
        <w:pict>
          <v:shape id="_x0000_s1058" type="#_x0000_t32" style="position:absolute;margin-left:8.1pt;margin-top:59.7pt;width:431pt;height:0;z-index:251652608" o:connectortype="straight" strokecolor="#7030a0" strokeweight="3pt"/>
        </w:pict>
      </w:r>
      <w:r w:rsidR="00222CE7" w:rsidRPr="00F02371">
        <w:rPr>
          <w:lang w:eastAsia="zh-TW"/>
        </w:rPr>
        <w:t>I am showing you this because these headings are still in the LC and OCLC databases, so you may come across them.  Plans are being made to “Flip” these headings once RDA is implemented, so that the RDA compatible heading is in the 1XX field.</w:t>
      </w:r>
    </w:p>
    <w:p w:rsidR="00D26A97" w:rsidRDefault="00D26A97" w:rsidP="00452F16">
      <w:pPr>
        <w:rPr>
          <w:lang w:eastAsia="zh-TW"/>
        </w:rPr>
      </w:pPr>
    </w:p>
    <w:p w:rsidR="006E7255" w:rsidRDefault="00D26A97" w:rsidP="00D26A97">
      <w:pPr>
        <w:pStyle w:val="Heading2"/>
      </w:pPr>
      <w:r>
        <w:br w:type="page"/>
      </w:r>
      <w:r w:rsidR="00452F16">
        <w:lastRenderedPageBreak/>
        <w:t>Exercise 19: Authority work</w:t>
      </w:r>
      <w:r w:rsidR="006E7255">
        <w:t xml:space="preserve"> </w:t>
      </w:r>
    </w:p>
    <w:p w:rsidR="006B58C3" w:rsidRDefault="006B58C3" w:rsidP="006E7255">
      <w:pPr>
        <w:ind w:left="720" w:hanging="720"/>
      </w:pPr>
      <w:r w:rsidRPr="00391587">
        <w:rPr>
          <w:noProof/>
          <w:lang w:eastAsia="zh-TW"/>
        </w:rPr>
        <w:pict>
          <v:shape id="_x0000_s1096" type="#_x0000_t202" style="position:absolute;left:0;text-align:left;margin-left:333.8pt;margin-top:-31.3pt;width:132.15pt;height:24pt;z-index:251676160;mso-width-relative:margin;mso-height-relative:margin">
            <v:textbox>
              <w:txbxContent>
                <w:p w:rsidR="007E01E8" w:rsidRDefault="006B58C3" w:rsidP="00452F16">
                  <w:pPr>
                    <w:jc w:val="center"/>
                  </w:pPr>
                  <w:r>
                    <w:t>Handbook: Page 184-187</w:t>
                  </w:r>
                </w:p>
              </w:txbxContent>
            </v:textbox>
          </v:shape>
        </w:pict>
      </w:r>
    </w:p>
    <w:p w:rsidR="006E7255" w:rsidRDefault="006E7255" w:rsidP="006E7255">
      <w:pPr>
        <w:ind w:left="720" w:hanging="720"/>
      </w:pPr>
      <w:r>
        <w:t xml:space="preserve">The following </w:t>
      </w:r>
      <w:r w:rsidR="006B58C3">
        <w:t>two</w:t>
      </w:r>
      <w:r>
        <w:t xml:space="preserve"> RDA </w:t>
      </w:r>
      <w:r w:rsidRPr="006B58C3">
        <w:rPr>
          <w:b/>
          <w:bCs/>
        </w:rPr>
        <w:t>personal</w:t>
      </w:r>
      <w:r>
        <w:t xml:space="preserve"> name authority records include some new elements.  </w:t>
      </w:r>
    </w:p>
    <w:p w:rsidR="006E7255" w:rsidRDefault="006E7255" w:rsidP="006E7255">
      <w:pPr>
        <w:ind w:left="720"/>
      </w:pPr>
      <w:r>
        <w:t xml:space="preserve">a) Identify the new elements and the RDA instruction numbers that tell you how to record the data.  </w:t>
      </w:r>
    </w:p>
    <w:p w:rsidR="006E7255" w:rsidRDefault="006E7255" w:rsidP="006E7255">
      <w:pPr>
        <w:ind w:left="720"/>
      </w:pPr>
      <w:r>
        <w:t>b) Where are the instructions for constructing the access point? And what additions have be</w:t>
      </w:r>
      <w:r w:rsidR="00D95F89">
        <w:t>en</w:t>
      </w:r>
      <w:r>
        <w:t xml:space="preserve"> made to the access points? </w:t>
      </w:r>
    </w:p>
    <w:p w:rsidR="006E7255" w:rsidRDefault="006E7255" w:rsidP="006E7255">
      <w:pPr>
        <w:spacing w:after="0"/>
        <w:ind w:firstLine="426"/>
      </w:pPr>
    </w:p>
    <w:p w:rsidR="006E7255" w:rsidRDefault="00391587" w:rsidP="006E7255">
      <w:pPr>
        <w:spacing w:after="0"/>
        <w:ind w:firstLine="426"/>
      </w:pPr>
      <w:r w:rsidRPr="00391587">
        <w:rPr>
          <w:noProof/>
        </w:rPr>
        <w:pict>
          <v:rect id="_x0000_s1094" style="position:absolute;left:0;text-align:left;margin-left:-8.1pt;margin-top:6.5pt;width:474.05pt;height:402.8pt;z-index:-251642368"/>
        </w:pict>
      </w:r>
    </w:p>
    <w:p w:rsidR="006E7255" w:rsidRDefault="006E7255" w:rsidP="006E7255">
      <w:pPr>
        <w:spacing w:after="0"/>
        <w:ind w:firstLine="426"/>
      </w:pPr>
      <w:r>
        <w:t xml:space="preserve">LC control no.: no2011117968 </w:t>
      </w:r>
    </w:p>
    <w:p w:rsidR="006E7255" w:rsidRDefault="006E7255" w:rsidP="006E7255">
      <w:pPr>
        <w:spacing w:after="0"/>
        <w:ind w:firstLine="426"/>
      </w:pPr>
      <w:r>
        <w:t xml:space="preserve">LCCN permalink: http://lccn.loc.gov/no2011117968 </w:t>
      </w:r>
    </w:p>
    <w:p w:rsidR="006E7255" w:rsidRDefault="006E7255" w:rsidP="006E7255">
      <w:pPr>
        <w:spacing w:after="0"/>
        <w:ind w:firstLine="426"/>
      </w:pPr>
      <w:r>
        <w:t xml:space="preserve">HEADING: Chamberlain, Lynn </w:t>
      </w:r>
    </w:p>
    <w:p w:rsidR="006E7255" w:rsidRDefault="006E7255" w:rsidP="006E7255">
      <w:pPr>
        <w:spacing w:after="0"/>
        <w:ind w:firstLine="426"/>
      </w:pPr>
      <w:r>
        <w:t xml:space="preserve">000 00912cz a2200217n 450 </w:t>
      </w:r>
    </w:p>
    <w:p w:rsidR="006E7255" w:rsidRDefault="006E7255" w:rsidP="006E7255">
      <w:pPr>
        <w:spacing w:after="0"/>
        <w:ind w:firstLine="426"/>
      </w:pPr>
      <w:r>
        <w:t xml:space="preserve">001 8721625 </w:t>
      </w:r>
    </w:p>
    <w:p w:rsidR="006E7255" w:rsidRDefault="006E7255" w:rsidP="006E7255">
      <w:pPr>
        <w:spacing w:after="0"/>
        <w:ind w:firstLine="426"/>
      </w:pPr>
      <w:r>
        <w:t xml:space="preserve">005 20111026173902.0 </w:t>
      </w:r>
    </w:p>
    <w:p w:rsidR="006E7255" w:rsidRDefault="006E7255" w:rsidP="006E7255">
      <w:pPr>
        <w:spacing w:after="0"/>
        <w:ind w:firstLine="426"/>
      </w:pPr>
      <w:r>
        <w:t xml:space="preserve">008 110801n| </w:t>
      </w:r>
      <w:proofErr w:type="spellStart"/>
      <w:r>
        <w:t>a</w:t>
      </w:r>
      <w:r w:rsidRPr="00902ED9">
        <w:rPr>
          <w:highlight w:val="yellow"/>
        </w:rPr>
        <w:t>z</w:t>
      </w:r>
      <w:r>
        <w:t>annaabn</w:t>
      </w:r>
      <w:proofErr w:type="spellEnd"/>
      <w:r>
        <w:t xml:space="preserve"> |n </w:t>
      </w:r>
      <w:proofErr w:type="spellStart"/>
      <w:proofErr w:type="gramStart"/>
      <w:r>
        <w:t>aaa</w:t>
      </w:r>
      <w:proofErr w:type="spellEnd"/>
      <w:proofErr w:type="gramEnd"/>
      <w:r>
        <w:t xml:space="preserve"> c </w:t>
      </w:r>
    </w:p>
    <w:p w:rsidR="006E7255" w:rsidRDefault="006E7255" w:rsidP="006E7255">
      <w:pPr>
        <w:spacing w:after="0"/>
        <w:ind w:firstLine="426"/>
      </w:pPr>
      <w:r>
        <w:t xml:space="preserve">010 __ |a no2011117968 </w:t>
      </w:r>
    </w:p>
    <w:p w:rsidR="006E7255" w:rsidRDefault="006E7255" w:rsidP="006E7255">
      <w:pPr>
        <w:spacing w:after="0"/>
        <w:ind w:firstLine="426"/>
      </w:pPr>
      <w:r>
        <w:t>035 __ |a (</w:t>
      </w:r>
      <w:proofErr w:type="spellStart"/>
      <w:r>
        <w:t>OCoLC</w:t>
      </w:r>
      <w:proofErr w:type="spellEnd"/>
      <w:proofErr w:type="gramStart"/>
      <w:r>
        <w:t>)oca08931242</w:t>
      </w:r>
      <w:proofErr w:type="gramEnd"/>
      <w:r>
        <w:t xml:space="preserve"> </w:t>
      </w:r>
    </w:p>
    <w:p w:rsidR="006E7255" w:rsidRDefault="006E7255" w:rsidP="006E7255">
      <w:pPr>
        <w:spacing w:after="0"/>
        <w:ind w:firstLine="426"/>
      </w:pPr>
      <w:r>
        <w:t xml:space="preserve">040 __ |a UPB |b eng |c UPB </w:t>
      </w:r>
      <w:r w:rsidRPr="00902ED9">
        <w:rPr>
          <w:highlight w:val="yellow"/>
        </w:rPr>
        <w:t>|e</w:t>
      </w:r>
      <w:r>
        <w:t xml:space="preserve"> </w:t>
      </w:r>
      <w:proofErr w:type="spellStart"/>
      <w:proofErr w:type="gramStart"/>
      <w:r w:rsidRPr="00902ED9">
        <w:rPr>
          <w:highlight w:val="yellow"/>
        </w:rPr>
        <w:t>rda</w:t>
      </w:r>
      <w:proofErr w:type="spellEnd"/>
      <w:proofErr w:type="gramEnd"/>
      <w:r>
        <w:t xml:space="preserve"> |d DLC </w:t>
      </w:r>
    </w:p>
    <w:p w:rsidR="006E7255" w:rsidRPr="00455319" w:rsidRDefault="006E7255" w:rsidP="006E7255">
      <w:pPr>
        <w:spacing w:after="0"/>
        <w:ind w:firstLine="426"/>
        <w:rPr>
          <w:lang w:val="fr-FR"/>
        </w:rPr>
      </w:pPr>
      <w:r w:rsidRPr="00455319">
        <w:rPr>
          <w:lang w:val="fr-FR"/>
        </w:rPr>
        <w:t xml:space="preserve">100 1_ |a Chamberlain, Lynn </w:t>
      </w:r>
    </w:p>
    <w:p w:rsidR="006E7255" w:rsidRPr="00902ED9" w:rsidRDefault="006E7255" w:rsidP="006E7255">
      <w:pPr>
        <w:spacing w:after="0"/>
        <w:ind w:firstLine="426"/>
        <w:rPr>
          <w:highlight w:val="yellow"/>
          <w:lang w:val="fr-FR"/>
        </w:rPr>
      </w:pPr>
      <w:r w:rsidRPr="00902ED9">
        <w:rPr>
          <w:highlight w:val="yellow"/>
          <w:lang w:val="fr-FR"/>
        </w:rPr>
        <w:t xml:space="preserve">370 __ |e </w:t>
      </w:r>
      <w:proofErr w:type="spellStart"/>
      <w:r w:rsidRPr="00902ED9">
        <w:rPr>
          <w:highlight w:val="yellow"/>
          <w:lang w:val="fr-FR"/>
        </w:rPr>
        <w:t>Toquerville</w:t>
      </w:r>
      <w:proofErr w:type="spellEnd"/>
      <w:r w:rsidRPr="00902ED9">
        <w:rPr>
          <w:highlight w:val="yellow"/>
          <w:lang w:val="fr-FR"/>
        </w:rPr>
        <w:t xml:space="preserve">, Utah </w:t>
      </w:r>
    </w:p>
    <w:p w:rsidR="006E7255" w:rsidRPr="00902ED9" w:rsidRDefault="006E7255" w:rsidP="006E7255">
      <w:pPr>
        <w:spacing w:after="0"/>
        <w:ind w:firstLine="426"/>
        <w:rPr>
          <w:highlight w:val="yellow"/>
        </w:rPr>
      </w:pPr>
      <w:r w:rsidRPr="00902ED9">
        <w:rPr>
          <w:highlight w:val="yellow"/>
        </w:rPr>
        <w:t xml:space="preserve">373 __ |a Utah Division of Wildlife Resources </w:t>
      </w:r>
    </w:p>
    <w:p w:rsidR="006E7255" w:rsidRPr="00902ED9" w:rsidRDefault="006E7255" w:rsidP="006E7255">
      <w:pPr>
        <w:spacing w:after="0"/>
        <w:ind w:firstLine="426"/>
        <w:rPr>
          <w:highlight w:val="yellow"/>
        </w:rPr>
      </w:pPr>
      <w:r w:rsidRPr="00902ED9">
        <w:rPr>
          <w:highlight w:val="yellow"/>
        </w:rPr>
        <w:t xml:space="preserve">374 __ |a Photographer </w:t>
      </w:r>
    </w:p>
    <w:p w:rsidR="006E7255" w:rsidRPr="00902ED9" w:rsidRDefault="006E7255" w:rsidP="006E7255">
      <w:pPr>
        <w:spacing w:after="0"/>
        <w:ind w:firstLine="426"/>
        <w:rPr>
          <w:highlight w:val="yellow"/>
        </w:rPr>
      </w:pPr>
      <w:r w:rsidRPr="00902ED9">
        <w:rPr>
          <w:highlight w:val="yellow"/>
        </w:rPr>
        <w:t xml:space="preserve">374 __ |a Author </w:t>
      </w:r>
    </w:p>
    <w:p w:rsidR="006E7255" w:rsidRPr="00902ED9" w:rsidRDefault="006E7255" w:rsidP="006E7255">
      <w:pPr>
        <w:spacing w:after="0"/>
        <w:ind w:firstLine="426"/>
        <w:rPr>
          <w:highlight w:val="yellow"/>
        </w:rPr>
      </w:pPr>
      <w:r w:rsidRPr="00902ED9">
        <w:rPr>
          <w:highlight w:val="yellow"/>
        </w:rPr>
        <w:t xml:space="preserve">375 __ |a male </w:t>
      </w:r>
    </w:p>
    <w:p w:rsidR="006E7255" w:rsidRDefault="006E7255" w:rsidP="006E7255">
      <w:pPr>
        <w:spacing w:after="0"/>
        <w:ind w:firstLine="426"/>
      </w:pPr>
      <w:r w:rsidRPr="00902ED9">
        <w:rPr>
          <w:highlight w:val="yellow"/>
        </w:rPr>
        <w:t>377 __ |a eng</w:t>
      </w:r>
      <w:r>
        <w:t xml:space="preserve"> </w:t>
      </w:r>
    </w:p>
    <w:p w:rsidR="006E7255" w:rsidRDefault="006E7255" w:rsidP="006E7255">
      <w:pPr>
        <w:spacing w:after="0"/>
        <w:ind w:left="1276" w:hanging="850"/>
      </w:pPr>
      <w:r>
        <w:t xml:space="preserve">670 __ |a </w:t>
      </w:r>
      <w:proofErr w:type="spellStart"/>
      <w:r>
        <w:t>Kolob</w:t>
      </w:r>
      <w:proofErr w:type="spellEnd"/>
      <w:r>
        <w:t xml:space="preserve"> Canyons, 1986, ©1986: |b back cover (Lynn Chamberlain; produced by Lynn Chamberlain, </w:t>
      </w:r>
      <w:proofErr w:type="spellStart"/>
      <w:r>
        <w:t>Toquerville</w:t>
      </w:r>
      <w:proofErr w:type="spellEnd"/>
      <w:r>
        <w:t xml:space="preserve">, Utah) </w:t>
      </w:r>
    </w:p>
    <w:p w:rsidR="006E7255" w:rsidRDefault="006E7255" w:rsidP="006E7255">
      <w:pPr>
        <w:spacing w:after="0"/>
        <w:ind w:left="1276" w:hanging="850"/>
      </w:pPr>
      <w:r>
        <w:t xml:space="preserve">670 __ |a Utah Division of Wildlife Resources, website viewed 1 August 2011 |b (Lynn Chamberlain; professional outdoor photographer over 30 years; lives in southern Utah; Conservation outreach manager for the DWR Southern Region; frequents </w:t>
      </w:r>
      <w:proofErr w:type="spellStart"/>
      <w:r>
        <w:t>Kolob</w:t>
      </w:r>
      <w:proofErr w:type="spellEnd"/>
      <w:r>
        <w:t xml:space="preserve"> area near Zion National Park; author of Close encounter with a condor) </w:t>
      </w:r>
    </w:p>
    <w:p w:rsidR="006E7255" w:rsidRDefault="006E7255" w:rsidP="006E7255">
      <w:pPr>
        <w:spacing w:after="0"/>
        <w:ind w:firstLine="426"/>
      </w:pPr>
      <w:r>
        <w:t>953 __ |b td08</w:t>
      </w:r>
    </w:p>
    <w:p w:rsidR="006E7255" w:rsidRDefault="006E7255" w:rsidP="006E7255"/>
    <w:p w:rsidR="006E7255" w:rsidRDefault="006E7255" w:rsidP="006E7255"/>
    <w:p w:rsidR="006E7255" w:rsidRDefault="006E7255" w:rsidP="006E7255"/>
    <w:p w:rsidR="00452F16" w:rsidRDefault="00452F16" w:rsidP="006E7255"/>
    <w:p w:rsidR="006E7255" w:rsidRDefault="006E7255" w:rsidP="006E7255"/>
    <w:p w:rsidR="006E7255" w:rsidRDefault="006E7255" w:rsidP="006E7255">
      <w:pPr>
        <w:rPr>
          <w:lang w:val="en-US"/>
        </w:rPr>
      </w:pPr>
    </w:p>
    <w:p w:rsidR="006E7255" w:rsidRPr="00760E00" w:rsidRDefault="00391587" w:rsidP="006E7255">
      <w:pPr>
        <w:ind w:firstLine="720"/>
        <w:rPr>
          <w:lang w:val="en-US"/>
        </w:rPr>
      </w:pPr>
      <w:r>
        <w:rPr>
          <w:noProof/>
          <w:lang w:val="en-US" w:eastAsia="zh-CN" w:bidi="th-TH"/>
        </w:rPr>
        <w:pict>
          <v:rect id="_x0000_s1093" style="position:absolute;left:0;text-align:left;margin-left:2.8pt;margin-top:-3.15pt;width:474.05pt;height:680.95pt;z-index:-251643392"/>
        </w:pict>
      </w:r>
      <w:r w:rsidR="006E7255" w:rsidRPr="00760E00">
        <w:rPr>
          <w:lang w:val="en-US"/>
        </w:rPr>
        <w:t xml:space="preserve">LC control no.: n 94112934  </w:t>
      </w:r>
    </w:p>
    <w:p w:rsidR="006E7255" w:rsidRPr="00760E00" w:rsidRDefault="006E7255" w:rsidP="006E7255">
      <w:pPr>
        <w:spacing w:after="0"/>
        <w:ind w:left="720"/>
        <w:rPr>
          <w:lang w:val="en-US"/>
        </w:rPr>
      </w:pPr>
      <w:r w:rsidRPr="00760E00">
        <w:rPr>
          <w:lang w:val="en-US"/>
        </w:rPr>
        <w:t xml:space="preserve">LCCN permalink: http://lccn.loc.gov/n94112934 </w:t>
      </w:r>
    </w:p>
    <w:p w:rsidR="006E7255" w:rsidRPr="00760E00" w:rsidRDefault="006E7255" w:rsidP="006E7255">
      <w:pPr>
        <w:spacing w:after="0"/>
        <w:ind w:left="720"/>
        <w:rPr>
          <w:lang w:val="en-US"/>
        </w:rPr>
      </w:pPr>
      <w:r w:rsidRPr="00760E00">
        <w:rPr>
          <w:lang w:val="en-US"/>
        </w:rPr>
        <w:t xml:space="preserve">HEADING: Obama, Barack </w:t>
      </w:r>
    </w:p>
    <w:p w:rsidR="006E7255" w:rsidRPr="00760E00" w:rsidRDefault="006E7255" w:rsidP="006E7255">
      <w:pPr>
        <w:spacing w:after="0"/>
        <w:ind w:left="720"/>
        <w:rPr>
          <w:lang w:val="en-US"/>
        </w:rPr>
      </w:pPr>
      <w:r w:rsidRPr="00760E00">
        <w:rPr>
          <w:lang w:val="en-US"/>
        </w:rPr>
        <w:t xml:space="preserve">008 941122n| </w:t>
      </w:r>
      <w:proofErr w:type="spellStart"/>
      <w:r w:rsidRPr="00760E00">
        <w:rPr>
          <w:lang w:val="en-US"/>
        </w:rPr>
        <w:t>acannaabn</w:t>
      </w:r>
      <w:proofErr w:type="spellEnd"/>
      <w:r w:rsidRPr="00760E00">
        <w:rPr>
          <w:lang w:val="en-US"/>
        </w:rPr>
        <w:t xml:space="preserve"> |b </w:t>
      </w:r>
      <w:proofErr w:type="spellStart"/>
      <w:proofErr w:type="gramStart"/>
      <w:r w:rsidRPr="00760E00">
        <w:rPr>
          <w:lang w:val="en-US"/>
        </w:rPr>
        <w:t>aaa</w:t>
      </w:r>
      <w:proofErr w:type="spellEnd"/>
      <w:proofErr w:type="gramEnd"/>
      <w:r w:rsidRPr="00760E00">
        <w:rPr>
          <w:lang w:val="en-US"/>
        </w:rPr>
        <w:t xml:space="preserve">  </w:t>
      </w:r>
    </w:p>
    <w:p w:rsidR="006E7255" w:rsidRPr="00760E00" w:rsidRDefault="006E7255" w:rsidP="006E7255">
      <w:pPr>
        <w:spacing w:after="0"/>
        <w:ind w:left="720"/>
        <w:rPr>
          <w:lang w:val="en-US"/>
        </w:rPr>
      </w:pPr>
      <w:r w:rsidRPr="00760E00">
        <w:rPr>
          <w:lang w:val="en-US"/>
        </w:rPr>
        <w:t xml:space="preserve">010 __ |a n 94112934  </w:t>
      </w:r>
    </w:p>
    <w:p w:rsidR="006E7255" w:rsidRPr="0007669D" w:rsidRDefault="006E7255" w:rsidP="006E7255">
      <w:pPr>
        <w:spacing w:after="0"/>
        <w:ind w:left="720"/>
        <w:rPr>
          <w:lang w:val="en-US"/>
        </w:rPr>
      </w:pPr>
      <w:r w:rsidRPr="00760E00">
        <w:rPr>
          <w:lang w:val="en-US"/>
        </w:rPr>
        <w:t>03</w:t>
      </w:r>
      <w:r w:rsidRPr="0007669D">
        <w:rPr>
          <w:lang w:val="en-US"/>
        </w:rPr>
        <w:t>5 __ |a (</w:t>
      </w:r>
      <w:proofErr w:type="spellStart"/>
      <w:r w:rsidRPr="0007669D">
        <w:rPr>
          <w:lang w:val="en-US"/>
        </w:rPr>
        <w:t>OCoLC</w:t>
      </w:r>
      <w:proofErr w:type="spellEnd"/>
      <w:proofErr w:type="gramStart"/>
      <w:r w:rsidRPr="0007669D">
        <w:rPr>
          <w:lang w:val="en-US"/>
        </w:rPr>
        <w:t>)oca03725304</w:t>
      </w:r>
      <w:proofErr w:type="gramEnd"/>
      <w:r w:rsidRPr="0007669D">
        <w:rPr>
          <w:lang w:val="en-US"/>
        </w:rPr>
        <w:t xml:space="preserve"> </w:t>
      </w:r>
    </w:p>
    <w:p w:rsidR="006E7255" w:rsidRPr="0007669D" w:rsidRDefault="006E7255" w:rsidP="006E7255">
      <w:pPr>
        <w:spacing w:after="0"/>
        <w:ind w:left="720"/>
        <w:rPr>
          <w:lang w:val="en-US"/>
        </w:rPr>
      </w:pPr>
      <w:r w:rsidRPr="0007669D">
        <w:rPr>
          <w:lang w:val="en-US"/>
        </w:rPr>
        <w:t xml:space="preserve">040 __ |a DLC |b eng |c DLC |d DLC |d </w:t>
      </w:r>
      <w:proofErr w:type="spellStart"/>
      <w:r w:rsidRPr="0007669D">
        <w:rPr>
          <w:lang w:val="en-US"/>
        </w:rPr>
        <w:t>MoKU</w:t>
      </w:r>
      <w:proofErr w:type="spellEnd"/>
      <w:r w:rsidRPr="0007669D">
        <w:rPr>
          <w:lang w:val="en-US"/>
        </w:rPr>
        <w:t xml:space="preserve"> |d </w:t>
      </w:r>
      <w:proofErr w:type="spellStart"/>
      <w:r w:rsidRPr="0007669D">
        <w:rPr>
          <w:lang w:val="en-US"/>
        </w:rPr>
        <w:t>IAhCCS</w:t>
      </w:r>
      <w:proofErr w:type="spellEnd"/>
      <w:r w:rsidRPr="0007669D">
        <w:rPr>
          <w:lang w:val="en-US"/>
        </w:rPr>
        <w:t xml:space="preserve"> |d </w:t>
      </w:r>
      <w:proofErr w:type="spellStart"/>
      <w:r w:rsidRPr="0007669D">
        <w:rPr>
          <w:lang w:val="en-US"/>
        </w:rPr>
        <w:t>WaU</w:t>
      </w:r>
      <w:proofErr w:type="spellEnd"/>
      <w:r w:rsidRPr="0007669D">
        <w:rPr>
          <w:lang w:val="en-US"/>
        </w:rPr>
        <w:t xml:space="preserve"> |d DLC |d </w:t>
      </w:r>
      <w:proofErr w:type="spellStart"/>
      <w:r w:rsidRPr="0007669D">
        <w:rPr>
          <w:lang w:val="en-US"/>
        </w:rPr>
        <w:t>WaU</w:t>
      </w:r>
      <w:proofErr w:type="spellEnd"/>
      <w:r w:rsidRPr="0007669D">
        <w:rPr>
          <w:lang w:val="en-US"/>
        </w:rPr>
        <w:t xml:space="preserve"> |d DLC |d MH-L |d DLC |d UPB |d MH-L |d DLC </w:t>
      </w:r>
    </w:p>
    <w:p w:rsidR="006E7255" w:rsidRPr="0007669D" w:rsidRDefault="006E7255" w:rsidP="006E7255">
      <w:pPr>
        <w:spacing w:after="0"/>
        <w:ind w:left="720"/>
        <w:rPr>
          <w:lang w:val="en-US"/>
        </w:rPr>
      </w:pPr>
      <w:r w:rsidRPr="0007669D">
        <w:rPr>
          <w:lang w:val="en-US"/>
        </w:rPr>
        <w:t xml:space="preserve">046 __ |f 19610804 </w:t>
      </w:r>
    </w:p>
    <w:p w:rsidR="006E7255" w:rsidRPr="0007669D" w:rsidRDefault="006E7255" w:rsidP="006E7255">
      <w:pPr>
        <w:spacing w:after="0"/>
        <w:ind w:left="720"/>
        <w:rPr>
          <w:lang w:val="en-US"/>
        </w:rPr>
      </w:pPr>
      <w:r w:rsidRPr="0007669D">
        <w:rPr>
          <w:lang w:val="en-US"/>
        </w:rPr>
        <w:t xml:space="preserve">100 1_ |a Obama, Barack </w:t>
      </w:r>
    </w:p>
    <w:p w:rsidR="006E7255" w:rsidRPr="0007669D" w:rsidRDefault="006E7255" w:rsidP="006E7255">
      <w:pPr>
        <w:spacing w:after="0"/>
        <w:ind w:left="720"/>
        <w:rPr>
          <w:highlight w:val="yellow"/>
          <w:lang w:val="en-US"/>
        </w:rPr>
      </w:pPr>
      <w:proofErr w:type="gramStart"/>
      <w:r w:rsidRPr="0007669D">
        <w:rPr>
          <w:highlight w:val="yellow"/>
          <w:lang w:val="en-US"/>
        </w:rPr>
        <w:t>370 __ |a Honolulu, Hawaii |c U.S. |e Washington, D.C. |f Chicago, Ill.</w:t>
      </w:r>
      <w:proofErr w:type="gramEnd"/>
      <w:r w:rsidRPr="0007669D">
        <w:rPr>
          <w:highlight w:val="yellow"/>
          <w:lang w:val="en-US"/>
        </w:rPr>
        <w:t xml:space="preserve"> </w:t>
      </w:r>
    </w:p>
    <w:p w:rsidR="006E7255" w:rsidRPr="0007669D" w:rsidRDefault="006E7255" w:rsidP="006E7255">
      <w:pPr>
        <w:spacing w:after="0"/>
        <w:ind w:left="720"/>
        <w:rPr>
          <w:highlight w:val="yellow"/>
          <w:lang w:val="en-US"/>
        </w:rPr>
      </w:pPr>
      <w:r w:rsidRPr="0007669D">
        <w:rPr>
          <w:highlight w:val="yellow"/>
          <w:lang w:val="en-US"/>
        </w:rPr>
        <w:t xml:space="preserve">373 __ |a Faculty, University of Chicago Law School |s 1992 |t 2004 </w:t>
      </w:r>
    </w:p>
    <w:p w:rsidR="006E7255" w:rsidRPr="0007669D" w:rsidRDefault="006E7255" w:rsidP="006E7255">
      <w:pPr>
        <w:spacing w:after="0"/>
        <w:ind w:left="720"/>
        <w:rPr>
          <w:highlight w:val="yellow"/>
          <w:lang w:val="en-US"/>
        </w:rPr>
      </w:pPr>
      <w:r w:rsidRPr="0007669D">
        <w:rPr>
          <w:highlight w:val="yellow"/>
          <w:lang w:val="en-US"/>
        </w:rPr>
        <w:t xml:space="preserve">373 __ |a State Senator, Illinois State Senate |s 1997 |t 2004 </w:t>
      </w:r>
    </w:p>
    <w:p w:rsidR="006E7255" w:rsidRPr="0007669D" w:rsidRDefault="006E7255" w:rsidP="006E7255">
      <w:pPr>
        <w:spacing w:after="0"/>
        <w:ind w:left="720"/>
        <w:rPr>
          <w:highlight w:val="yellow"/>
          <w:lang w:val="en-US"/>
        </w:rPr>
      </w:pPr>
      <w:r w:rsidRPr="0007669D">
        <w:rPr>
          <w:highlight w:val="yellow"/>
          <w:lang w:val="en-US"/>
        </w:rPr>
        <w:t xml:space="preserve">373 __ |a Senator, United States Senate |s 2005 |t 2008 </w:t>
      </w:r>
    </w:p>
    <w:p w:rsidR="006E7255" w:rsidRPr="0007669D" w:rsidRDefault="006E7255" w:rsidP="006E7255">
      <w:pPr>
        <w:spacing w:after="0"/>
        <w:ind w:left="720"/>
        <w:rPr>
          <w:highlight w:val="yellow"/>
          <w:lang w:val="en-US"/>
        </w:rPr>
      </w:pPr>
      <w:r w:rsidRPr="0007669D">
        <w:rPr>
          <w:highlight w:val="yellow"/>
          <w:lang w:val="en-US"/>
        </w:rPr>
        <w:t xml:space="preserve">374 __ |a United States President |a U.S. Senator |a Illinois State Senator |a Lawyer |a Community organizer </w:t>
      </w:r>
    </w:p>
    <w:p w:rsidR="006E7255" w:rsidRPr="0007669D" w:rsidRDefault="006E7255" w:rsidP="006E7255">
      <w:pPr>
        <w:spacing w:after="0"/>
        <w:ind w:left="720"/>
        <w:rPr>
          <w:highlight w:val="yellow"/>
          <w:lang w:val="it-IT"/>
        </w:rPr>
      </w:pPr>
      <w:r w:rsidRPr="0007669D">
        <w:rPr>
          <w:highlight w:val="yellow"/>
          <w:lang w:val="it-IT"/>
        </w:rPr>
        <w:t xml:space="preserve">375 __ |a male </w:t>
      </w:r>
    </w:p>
    <w:p w:rsidR="006E7255" w:rsidRPr="0007669D" w:rsidRDefault="006E7255" w:rsidP="006E7255">
      <w:pPr>
        <w:spacing w:after="0"/>
        <w:ind w:left="720"/>
        <w:rPr>
          <w:lang w:val="it-IT"/>
        </w:rPr>
      </w:pPr>
      <w:r w:rsidRPr="0007669D">
        <w:rPr>
          <w:highlight w:val="yellow"/>
          <w:lang w:val="it-IT"/>
        </w:rPr>
        <w:t>377 __ |a eng</w:t>
      </w:r>
      <w:r w:rsidRPr="0007669D">
        <w:rPr>
          <w:lang w:val="it-IT"/>
        </w:rPr>
        <w:t xml:space="preserve"> </w:t>
      </w:r>
    </w:p>
    <w:p w:rsidR="006E7255" w:rsidRPr="0007669D" w:rsidRDefault="006E7255" w:rsidP="006E7255">
      <w:pPr>
        <w:spacing w:after="0"/>
        <w:ind w:left="720"/>
        <w:rPr>
          <w:lang w:val="it-IT"/>
        </w:rPr>
      </w:pPr>
      <w:r w:rsidRPr="0007669D">
        <w:rPr>
          <w:lang w:val="it-IT"/>
        </w:rPr>
        <w:t xml:space="preserve">400 1_ |a Obama, Barry </w:t>
      </w:r>
    </w:p>
    <w:p w:rsidR="006E7255" w:rsidRPr="0007669D" w:rsidRDefault="006E7255" w:rsidP="006E7255">
      <w:pPr>
        <w:spacing w:after="0"/>
        <w:ind w:left="720"/>
        <w:rPr>
          <w:lang w:val="sv-SE"/>
        </w:rPr>
      </w:pPr>
      <w:r w:rsidRPr="0007669D">
        <w:rPr>
          <w:lang w:val="sv-SE"/>
        </w:rPr>
        <w:t xml:space="preserve">400 1_ |a Obama, Barack Hussein, |c II </w:t>
      </w:r>
    </w:p>
    <w:p w:rsidR="006E7255" w:rsidRPr="0007669D" w:rsidRDefault="006E7255" w:rsidP="006E7255">
      <w:pPr>
        <w:spacing w:after="0"/>
        <w:ind w:left="720"/>
        <w:rPr>
          <w:lang w:val="sv-SE"/>
        </w:rPr>
      </w:pPr>
      <w:r w:rsidRPr="0007669D">
        <w:rPr>
          <w:lang w:val="sv-SE"/>
        </w:rPr>
        <w:t xml:space="preserve">400 1_ |a Soetoro, Barry </w:t>
      </w:r>
    </w:p>
    <w:p w:rsidR="006E7255" w:rsidRPr="0007669D" w:rsidRDefault="006E7255" w:rsidP="006E7255">
      <w:pPr>
        <w:spacing w:after="0"/>
        <w:ind w:left="720"/>
        <w:rPr>
          <w:lang w:val="sv-SE"/>
        </w:rPr>
      </w:pPr>
      <w:r w:rsidRPr="0007669D">
        <w:rPr>
          <w:lang w:val="sv-SE"/>
        </w:rPr>
        <w:t xml:space="preserve">400 1_ |a </w:t>
      </w:r>
      <w:r w:rsidRPr="0007669D">
        <w:rPr>
          <w:rFonts w:hint="cs"/>
          <w:rtl/>
          <w:lang w:val="en-US" w:bidi="he-IL"/>
        </w:rPr>
        <w:t>אובאמה</w:t>
      </w:r>
      <w:r w:rsidRPr="0007669D">
        <w:rPr>
          <w:rtl/>
          <w:lang w:val="en-US" w:bidi="he-IL"/>
        </w:rPr>
        <w:t xml:space="preserve">, </w:t>
      </w:r>
      <w:r w:rsidRPr="0007669D">
        <w:rPr>
          <w:rFonts w:hint="cs"/>
          <w:rtl/>
          <w:lang w:val="en-US" w:bidi="he-IL"/>
        </w:rPr>
        <w:t>ברק</w:t>
      </w:r>
      <w:r w:rsidRPr="0007669D">
        <w:rPr>
          <w:lang w:val="sv-SE"/>
        </w:rPr>
        <w:t xml:space="preserve"> </w:t>
      </w:r>
    </w:p>
    <w:p w:rsidR="006E7255" w:rsidRPr="0007669D" w:rsidRDefault="006E7255" w:rsidP="006E7255">
      <w:pPr>
        <w:spacing w:after="0"/>
        <w:ind w:left="720"/>
        <w:rPr>
          <w:lang w:val="en-US"/>
        </w:rPr>
      </w:pPr>
      <w:r w:rsidRPr="0007669D">
        <w:rPr>
          <w:lang w:val="en-US"/>
        </w:rPr>
        <w:t xml:space="preserve">400 1_ |a </w:t>
      </w:r>
      <w:proofErr w:type="spellStart"/>
      <w:r w:rsidRPr="0007669D">
        <w:rPr>
          <w:lang w:val="en-US"/>
        </w:rPr>
        <w:t>Obamah</w:t>
      </w:r>
      <w:proofErr w:type="spellEnd"/>
      <w:r w:rsidRPr="0007669D">
        <w:rPr>
          <w:lang w:val="en-US"/>
        </w:rPr>
        <w:t xml:space="preserve">, Baraḳ </w:t>
      </w:r>
    </w:p>
    <w:p w:rsidR="006E7255" w:rsidRPr="0007669D" w:rsidRDefault="006E7255" w:rsidP="006E7255">
      <w:pPr>
        <w:spacing w:after="0"/>
        <w:ind w:left="720"/>
        <w:rPr>
          <w:lang w:val="en-US"/>
        </w:rPr>
      </w:pPr>
      <w:proofErr w:type="gramStart"/>
      <w:r w:rsidRPr="0007669D">
        <w:rPr>
          <w:lang w:val="en-US"/>
        </w:rPr>
        <w:t>510 1_ |a United States.</w:t>
      </w:r>
      <w:proofErr w:type="gramEnd"/>
      <w:r w:rsidRPr="0007669D">
        <w:rPr>
          <w:lang w:val="en-US"/>
        </w:rPr>
        <w:t xml:space="preserve"> |b President (2009- : Obama) </w:t>
      </w:r>
    </w:p>
    <w:p w:rsidR="006E7255" w:rsidRPr="0007669D" w:rsidRDefault="006E7255" w:rsidP="006E7255">
      <w:pPr>
        <w:spacing w:after="0"/>
        <w:ind w:left="720"/>
        <w:rPr>
          <w:lang w:val="en-US"/>
        </w:rPr>
      </w:pPr>
      <w:r w:rsidRPr="0007669D">
        <w:rPr>
          <w:lang w:val="en-US"/>
        </w:rPr>
        <w:t xml:space="preserve">667 __ |a Non-Latin script </w:t>
      </w:r>
      <w:proofErr w:type="gramStart"/>
      <w:r w:rsidRPr="0007669D">
        <w:rPr>
          <w:lang w:val="en-US"/>
        </w:rPr>
        <w:t>reference</w:t>
      </w:r>
      <w:proofErr w:type="gramEnd"/>
      <w:r w:rsidRPr="0007669D">
        <w:rPr>
          <w:lang w:val="en-US"/>
        </w:rPr>
        <w:t xml:space="preserve"> not evaluated. </w:t>
      </w:r>
    </w:p>
    <w:p w:rsidR="006E7255" w:rsidRPr="0007669D" w:rsidRDefault="006E7255" w:rsidP="006E7255">
      <w:pPr>
        <w:spacing w:after="0"/>
        <w:ind w:left="720"/>
        <w:rPr>
          <w:lang w:val="en-US"/>
        </w:rPr>
      </w:pPr>
      <w:r w:rsidRPr="0007669D">
        <w:rPr>
          <w:lang w:val="en-US"/>
        </w:rPr>
        <w:t xml:space="preserve">670 __ |a Dreams from my father, 1995: |b CIP </w:t>
      </w:r>
      <w:proofErr w:type="spellStart"/>
      <w:r w:rsidRPr="0007669D">
        <w:rPr>
          <w:lang w:val="en-US"/>
        </w:rPr>
        <w:t>t.p</w:t>
      </w:r>
      <w:proofErr w:type="spellEnd"/>
      <w:r w:rsidRPr="0007669D">
        <w:rPr>
          <w:lang w:val="en-US"/>
        </w:rPr>
        <w:t xml:space="preserve">. (Barack Obama) </w:t>
      </w:r>
    </w:p>
    <w:p w:rsidR="006E7255" w:rsidRPr="0007669D" w:rsidRDefault="006E7255" w:rsidP="006E7255">
      <w:pPr>
        <w:spacing w:after="0"/>
        <w:ind w:left="720"/>
        <w:rPr>
          <w:lang w:val="en-US"/>
        </w:rPr>
      </w:pPr>
      <w:r w:rsidRPr="0007669D">
        <w:rPr>
          <w:lang w:val="en-US"/>
        </w:rPr>
        <w:t xml:space="preserve">670 __ |a Feinstein, S. Barack Obama, 2008: |b ECIP </w:t>
      </w:r>
      <w:proofErr w:type="spellStart"/>
      <w:r w:rsidRPr="0007669D">
        <w:rPr>
          <w:lang w:val="en-US"/>
        </w:rPr>
        <w:t>t.p</w:t>
      </w:r>
      <w:proofErr w:type="spellEnd"/>
      <w:r w:rsidRPr="0007669D">
        <w:rPr>
          <w:lang w:val="en-US"/>
        </w:rPr>
        <w:t xml:space="preserve">. (Barack Obama) ECIP text (Barack Obama was born Aug. 4, 1961 in Honolulu; his father was from Kenya; his parents called him Barry [used throughout text]; while he was in college, he started to call himself by his Kenyan name, Barack; he took pride in the name; in 2004, elected U.S. senator from Illinois; his father is also named Barack Obama) </w:t>
      </w:r>
    </w:p>
    <w:p w:rsidR="006E7255" w:rsidRPr="0007669D" w:rsidRDefault="006E7255" w:rsidP="006E7255">
      <w:pPr>
        <w:spacing w:after="0"/>
        <w:ind w:left="720"/>
        <w:rPr>
          <w:lang w:val="en-US"/>
        </w:rPr>
      </w:pPr>
      <w:r w:rsidRPr="0007669D">
        <w:rPr>
          <w:lang w:val="en-US"/>
        </w:rPr>
        <w:t xml:space="preserve">670 __ |a Wikipedia, July 21, 2008 |b (Barack Obama; Barack Hussein Obama II; b. Aug. 4, 1961 to Barack Obama, Sr., a Black Kenyan of </w:t>
      </w:r>
      <w:proofErr w:type="spellStart"/>
      <w:r w:rsidRPr="0007669D">
        <w:rPr>
          <w:lang w:val="en-US"/>
        </w:rPr>
        <w:t>Nyangoma-Kogelo</w:t>
      </w:r>
      <w:proofErr w:type="spellEnd"/>
      <w:r w:rsidRPr="0007669D">
        <w:rPr>
          <w:lang w:val="en-US"/>
        </w:rPr>
        <w:t xml:space="preserve">, </w:t>
      </w:r>
      <w:proofErr w:type="spellStart"/>
      <w:r w:rsidRPr="0007669D">
        <w:rPr>
          <w:lang w:val="en-US"/>
        </w:rPr>
        <w:t>Siaya</w:t>
      </w:r>
      <w:proofErr w:type="spellEnd"/>
      <w:r w:rsidRPr="0007669D">
        <w:rPr>
          <w:lang w:val="en-US"/>
        </w:rPr>
        <w:t xml:space="preserve"> District, Kenya, and Ann Dunham, a White American from Wichita, Kan.) Nov. 3, 2008 (Hebrew page: </w:t>
      </w:r>
      <w:r w:rsidRPr="0007669D">
        <w:rPr>
          <w:rFonts w:hint="cs"/>
          <w:rtl/>
          <w:lang w:val="en-US" w:bidi="he-IL"/>
        </w:rPr>
        <w:t>ברק</w:t>
      </w:r>
      <w:r w:rsidRPr="0007669D">
        <w:rPr>
          <w:rtl/>
          <w:lang w:val="en-US" w:bidi="he-IL"/>
        </w:rPr>
        <w:t xml:space="preserve"> </w:t>
      </w:r>
      <w:r w:rsidRPr="0007669D">
        <w:rPr>
          <w:rFonts w:hint="cs"/>
          <w:rtl/>
          <w:lang w:val="en-US" w:bidi="he-IL"/>
        </w:rPr>
        <w:t>אובאמה</w:t>
      </w:r>
      <w:r w:rsidRPr="0007669D">
        <w:rPr>
          <w:lang w:val="en-US"/>
        </w:rPr>
        <w:t xml:space="preserve"> = Baraḳ </w:t>
      </w:r>
      <w:proofErr w:type="spellStart"/>
      <w:r w:rsidRPr="0007669D">
        <w:rPr>
          <w:lang w:val="en-US"/>
        </w:rPr>
        <w:t>Obamah</w:t>
      </w:r>
      <w:proofErr w:type="spellEnd"/>
      <w:r w:rsidRPr="0007669D">
        <w:rPr>
          <w:lang w:val="en-US"/>
        </w:rPr>
        <w:t xml:space="preserve">; Barack Hussein Obama Jr.) </w:t>
      </w:r>
    </w:p>
    <w:p w:rsidR="006E7255" w:rsidRPr="0007669D" w:rsidRDefault="006E7255" w:rsidP="006E7255">
      <w:pPr>
        <w:spacing w:after="0"/>
        <w:ind w:left="720"/>
        <w:rPr>
          <w:lang w:val="en-US"/>
        </w:rPr>
      </w:pPr>
      <w:r w:rsidRPr="0007669D">
        <w:rPr>
          <w:lang w:val="en-US"/>
        </w:rPr>
        <w:t xml:space="preserve">670 __ |a Obama’s miracle, 2008: |b </w:t>
      </w:r>
      <w:proofErr w:type="spellStart"/>
      <w:r w:rsidRPr="0007669D">
        <w:rPr>
          <w:lang w:val="en-US"/>
        </w:rPr>
        <w:t>t.p</w:t>
      </w:r>
      <w:proofErr w:type="spellEnd"/>
      <w:r w:rsidRPr="0007669D">
        <w:rPr>
          <w:lang w:val="en-US"/>
        </w:rPr>
        <w:t xml:space="preserve">. (Obama) p. 7 (Barry </w:t>
      </w:r>
      <w:proofErr w:type="spellStart"/>
      <w:r w:rsidRPr="0007669D">
        <w:rPr>
          <w:lang w:val="en-US"/>
        </w:rPr>
        <w:t>Soetoro</w:t>
      </w:r>
      <w:proofErr w:type="spellEnd"/>
      <w:r w:rsidRPr="0007669D">
        <w:rPr>
          <w:lang w:val="en-US"/>
        </w:rPr>
        <w:t xml:space="preserve">) </w:t>
      </w:r>
    </w:p>
    <w:p w:rsidR="006E7255" w:rsidRPr="0007669D" w:rsidRDefault="006E7255" w:rsidP="006E7255">
      <w:pPr>
        <w:spacing w:after="0"/>
        <w:ind w:left="720"/>
        <w:rPr>
          <w:lang w:val="en-US"/>
        </w:rPr>
      </w:pPr>
      <w:r w:rsidRPr="0007669D">
        <w:rPr>
          <w:lang w:val="en-US"/>
        </w:rPr>
        <w:t xml:space="preserve">670 __ |a Wikipedia, WWW, Feb. 8, 2011: |b (the 44th President of the United States, 2009-; United States Senator from Illinois, 2005-2008; a community organizer in Chicago before earning his law degree. He worked as a civil rights attorney in Chicago and taught constitutional law at the University </w:t>
      </w:r>
      <w:proofErr w:type="gramStart"/>
      <w:r w:rsidRPr="0007669D">
        <w:rPr>
          <w:lang w:val="en-US"/>
        </w:rPr>
        <w:t>of</w:t>
      </w:r>
      <w:proofErr w:type="gramEnd"/>
      <w:r w:rsidRPr="0007669D">
        <w:rPr>
          <w:lang w:val="en-US"/>
        </w:rPr>
        <w:t xml:space="preserve"> Chicago Law School from 1992 to 2004; served three terms in the Illinois State Senate from 1997 to 2004) </w:t>
      </w:r>
    </w:p>
    <w:p w:rsidR="006E7255" w:rsidRPr="0007669D" w:rsidRDefault="006E7255" w:rsidP="006E7255">
      <w:pPr>
        <w:spacing w:after="0"/>
        <w:ind w:left="720"/>
        <w:rPr>
          <w:lang w:val="en-US"/>
        </w:rPr>
      </w:pPr>
      <w:r w:rsidRPr="0007669D">
        <w:rPr>
          <w:lang w:val="en-US"/>
        </w:rPr>
        <w:t xml:space="preserve">700 14 |a Obama, Barack, |d 1961- </w:t>
      </w:r>
    </w:p>
    <w:p w:rsidR="006E7255" w:rsidRPr="00452F16" w:rsidRDefault="006E7255" w:rsidP="00452F16">
      <w:pPr>
        <w:spacing w:after="0"/>
        <w:ind w:left="720"/>
        <w:rPr>
          <w:lang w:val="en-US"/>
        </w:rPr>
      </w:pPr>
      <w:r w:rsidRPr="00C037AB">
        <w:rPr>
          <w:lang w:val="en-US"/>
        </w:rPr>
        <w:lastRenderedPageBreak/>
        <w:t>953 __ |a lh04 |b ec04</w:t>
      </w:r>
    </w:p>
    <w:p w:rsidR="006E7255" w:rsidRDefault="006E7255" w:rsidP="006E7255">
      <w:r>
        <w:t xml:space="preserve">The authority record for the </w:t>
      </w:r>
      <w:proofErr w:type="spellStart"/>
      <w:r>
        <w:t>Gubler</w:t>
      </w:r>
      <w:proofErr w:type="spellEnd"/>
      <w:r>
        <w:t xml:space="preserve"> </w:t>
      </w:r>
      <w:r w:rsidRPr="006B58C3">
        <w:rPr>
          <w:b/>
          <w:bCs/>
        </w:rPr>
        <w:t>Family</w:t>
      </w:r>
      <w:r>
        <w:t xml:space="preserve"> contains many of the new elements.  </w:t>
      </w:r>
    </w:p>
    <w:p w:rsidR="006E7255" w:rsidRDefault="006E7255" w:rsidP="006E7255">
      <w:pPr>
        <w:ind w:left="720"/>
      </w:pPr>
      <w:r>
        <w:t xml:space="preserve">a) Identify the new elements and the RDA instruction numbers that tell you how to record the data.  </w:t>
      </w:r>
    </w:p>
    <w:p w:rsidR="006E7255" w:rsidRDefault="00391587" w:rsidP="006E7255">
      <w:pPr>
        <w:ind w:left="720"/>
      </w:pPr>
      <w:r w:rsidRPr="00391587">
        <w:rPr>
          <w:noProof/>
        </w:rPr>
        <w:pict>
          <v:rect id="_x0000_s1095" style="position:absolute;left:0;text-align:left;margin-left:-5.05pt;margin-top:36.55pt;width:474.05pt;height:402.8pt;z-index:-251641344"/>
        </w:pict>
      </w:r>
      <w:r w:rsidR="006E7255">
        <w:t xml:space="preserve">b) Where are the instructions for constructing the access point? And what additions have be made to the access points? </w:t>
      </w:r>
    </w:p>
    <w:p w:rsidR="006E7255" w:rsidRDefault="006E7255" w:rsidP="006E7255"/>
    <w:p w:rsidR="006E7255" w:rsidRDefault="006E7255" w:rsidP="006E7255"/>
    <w:p w:rsidR="006E7255" w:rsidRDefault="006E7255" w:rsidP="006E7255">
      <w:pPr>
        <w:spacing w:after="0"/>
        <w:ind w:left="720"/>
      </w:pPr>
      <w:r>
        <w:t xml:space="preserve">LC control no.: no2010173136 </w:t>
      </w:r>
    </w:p>
    <w:p w:rsidR="006E7255" w:rsidRDefault="006E7255" w:rsidP="006E7255">
      <w:pPr>
        <w:spacing w:after="0"/>
        <w:ind w:left="720"/>
      </w:pPr>
      <w:r>
        <w:t xml:space="preserve">LCCN permalink: http://lccn.loc.gov/no2010173136 </w:t>
      </w:r>
    </w:p>
    <w:p w:rsidR="006E7255" w:rsidRDefault="006E7255" w:rsidP="006E7255">
      <w:pPr>
        <w:spacing w:after="0"/>
        <w:ind w:left="720"/>
      </w:pPr>
      <w:r>
        <w:t xml:space="preserve">HEADING: </w:t>
      </w:r>
      <w:proofErr w:type="spellStart"/>
      <w:r>
        <w:t>Gubler</w:t>
      </w:r>
      <w:proofErr w:type="spellEnd"/>
      <w:r>
        <w:t xml:space="preserve"> (</w:t>
      </w:r>
      <w:proofErr w:type="gramStart"/>
      <w:r>
        <w:t>Family :</w:t>
      </w:r>
      <w:proofErr w:type="gramEnd"/>
      <w:r>
        <w:t xml:space="preserve"> </w:t>
      </w:r>
      <w:proofErr w:type="spellStart"/>
      <w:r>
        <w:t>Gubler</w:t>
      </w:r>
      <w:proofErr w:type="spellEnd"/>
      <w:r>
        <w:t xml:space="preserve">, Kasper, 1835-1917) </w:t>
      </w:r>
    </w:p>
    <w:p w:rsidR="006E7255" w:rsidRDefault="006E7255" w:rsidP="006E7255">
      <w:pPr>
        <w:spacing w:after="0"/>
        <w:ind w:left="720"/>
      </w:pPr>
      <w:r>
        <w:t xml:space="preserve">000 00662cz a2200169n 450 </w:t>
      </w:r>
    </w:p>
    <w:p w:rsidR="006E7255" w:rsidRDefault="006E7255" w:rsidP="006E7255">
      <w:pPr>
        <w:spacing w:after="0"/>
        <w:ind w:left="720"/>
      </w:pPr>
      <w:r>
        <w:t xml:space="preserve">001 8454241 </w:t>
      </w:r>
    </w:p>
    <w:p w:rsidR="006E7255" w:rsidRDefault="006E7255" w:rsidP="006E7255">
      <w:pPr>
        <w:spacing w:after="0"/>
        <w:ind w:left="720"/>
      </w:pPr>
      <w:r>
        <w:t xml:space="preserve">005 20110210141233.0 </w:t>
      </w:r>
    </w:p>
    <w:p w:rsidR="006E7255" w:rsidRDefault="006E7255" w:rsidP="006E7255">
      <w:pPr>
        <w:spacing w:after="0"/>
        <w:ind w:left="720"/>
      </w:pPr>
      <w:r>
        <w:t xml:space="preserve">008 101025n| </w:t>
      </w:r>
      <w:proofErr w:type="spellStart"/>
      <w:r>
        <w:t>a</w:t>
      </w:r>
      <w:r w:rsidRPr="00580F39">
        <w:rPr>
          <w:highlight w:val="yellow"/>
        </w:rPr>
        <w:t>z</w:t>
      </w:r>
      <w:r>
        <w:t>nnnabbn</w:t>
      </w:r>
      <w:proofErr w:type="spellEnd"/>
      <w:r>
        <w:t xml:space="preserve"> |a </w:t>
      </w:r>
      <w:proofErr w:type="spellStart"/>
      <w:r>
        <w:t>ana</w:t>
      </w:r>
      <w:proofErr w:type="spellEnd"/>
      <w:r>
        <w:t xml:space="preserve"> c </w:t>
      </w:r>
    </w:p>
    <w:p w:rsidR="006E7255" w:rsidRDefault="006E7255" w:rsidP="006E7255">
      <w:pPr>
        <w:spacing w:after="0"/>
        <w:ind w:left="720"/>
      </w:pPr>
      <w:r>
        <w:t xml:space="preserve">010 __ |a no2010173136 </w:t>
      </w:r>
    </w:p>
    <w:p w:rsidR="006E7255" w:rsidRDefault="006E7255" w:rsidP="006E7255">
      <w:pPr>
        <w:spacing w:after="0"/>
        <w:ind w:left="720"/>
      </w:pPr>
      <w:r>
        <w:t>035 __ |a (</w:t>
      </w:r>
      <w:proofErr w:type="spellStart"/>
      <w:r>
        <w:t>OCoLC</w:t>
      </w:r>
      <w:proofErr w:type="spellEnd"/>
      <w:proofErr w:type="gramStart"/>
      <w:r>
        <w:t>)oca08666736</w:t>
      </w:r>
      <w:proofErr w:type="gramEnd"/>
      <w:r>
        <w:t xml:space="preserve"> </w:t>
      </w:r>
    </w:p>
    <w:p w:rsidR="006E7255" w:rsidRDefault="006E7255" w:rsidP="006E7255">
      <w:pPr>
        <w:spacing w:after="0"/>
        <w:ind w:left="720"/>
      </w:pPr>
      <w:r>
        <w:t xml:space="preserve">040 __ |a UPB |b eng |c UPB </w:t>
      </w:r>
      <w:r w:rsidRPr="00580F39">
        <w:rPr>
          <w:highlight w:val="yellow"/>
        </w:rPr>
        <w:t xml:space="preserve">|e </w:t>
      </w:r>
      <w:proofErr w:type="spellStart"/>
      <w:proofErr w:type="gramStart"/>
      <w:r w:rsidRPr="00580F39">
        <w:rPr>
          <w:highlight w:val="yellow"/>
        </w:rPr>
        <w:t>rda</w:t>
      </w:r>
      <w:proofErr w:type="spellEnd"/>
      <w:proofErr w:type="gramEnd"/>
      <w:r>
        <w:t xml:space="preserve"> |d DLC </w:t>
      </w:r>
    </w:p>
    <w:p w:rsidR="006E7255" w:rsidRPr="00580F39" w:rsidRDefault="006E7255" w:rsidP="006E7255">
      <w:pPr>
        <w:spacing w:after="0"/>
        <w:ind w:left="720"/>
        <w:rPr>
          <w:lang w:val="sv-SE"/>
        </w:rPr>
      </w:pPr>
      <w:r w:rsidRPr="00580F39">
        <w:rPr>
          <w:lang w:val="sv-SE"/>
        </w:rPr>
        <w:t xml:space="preserve">100 </w:t>
      </w:r>
      <w:r w:rsidRPr="00580F39">
        <w:rPr>
          <w:highlight w:val="yellow"/>
          <w:lang w:val="sv-SE"/>
        </w:rPr>
        <w:t>3</w:t>
      </w:r>
      <w:r w:rsidRPr="00580F39">
        <w:rPr>
          <w:lang w:val="sv-SE"/>
        </w:rPr>
        <w:t>_ |a Gubler (Family : |</w:t>
      </w:r>
      <w:r w:rsidRPr="00807BF4">
        <w:rPr>
          <w:highlight w:val="yellow"/>
          <w:lang w:val="sv-SE"/>
        </w:rPr>
        <w:t>g Gubler, Kasper, 1835-1917</w:t>
      </w:r>
      <w:r w:rsidRPr="00580F39">
        <w:rPr>
          <w:lang w:val="sv-SE"/>
        </w:rPr>
        <w:t xml:space="preserve">) </w:t>
      </w:r>
    </w:p>
    <w:p w:rsidR="006E7255" w:rsidRPr="00580F39" w:rsidRDefault="006E7255" w:rsidP="006E7255">
      <w:pPr>
        <w:spacing w:after="0"/>
        <w:ind w:left="720"/>
        <w:rPr>
          <w:lang w:val="sv-SE"/>
        </w:rPr>
      </w:pPr>
      <w:r w:rsidRPr="00580F39">
        <w:rPr>
          <w:highlight w:val="yellow"/>
          <w:lang w:val="sv-SE"/>
        </w:rPr>
        <w:t>376 __ |a Family |b Gubler, Kasper, 1835-1917</w:t>
      </w:r>
      <w:r w:rsidRPr="00580F39">
        <w:rPr>
          <w:lang w:val="sv-SE"/>
        </w:rPr>
        <w:t xml:space="preserve"> </w:t>
      </w:r>
    </w:p>
    <w:p w:rsidR="006E7255" w:rsidRPr="00580F39" w:rsidRDefault="006E7255" w:rsidP="006E7255">
      <w:pPr>
        <w:spacing w:after="0"/>
        <w:ind w:left="720"/>
        <w:rPr>
          <w:lang w:val="sv-SE"/>
        </w:rPr>
      </w:pPr>
      <w:r w:rsidRPr="00580F39">
        <w:rPr>
          <w:lang w:val="sv-SE"/>
        </w:rPr>
        <w:t xml:space="preserve">500 1_ </w:t>
      </w:r>
      <w:r w:rsidRPr="00580F39">
        <w:rPr>
          <w:highlight w:val="yellow"/>
          <w:lang w:val="sv-SE"/>
        </w:rPr>
        <w:t>|w r |i Progenitor:</w:t>
      </w:r>
      <w:r w:rsidRPr="00580F39">
        <w:rPr>
          <w:lang w:val="sv-SE"/>
        </w:rPr>
        <w:t xml:space="preserve"> |a Gubler, Kasper, |d 1835-1917 </w:t>
      </w:r>
    </w:p>
    <w:p w:rsidR="006E7255" w:rsidRDefault="006E7255" w:rsidP="006E7255">
      <w:pPr>
        <w:spacing w:after="0"/>
        <w:ind w:left="720"/>
      </w:pPr>
      <w:r w:rsidRPr="00580F39">
        <w:rPr>
          <w:highlight w:val="yellow"/>
        </w:rPr>
        <w:t>667 __ |a SUBJECT USAGE:</w:t>
      </w:r>
      <w:r>
        <w:t xml:space="preserve"> This heading is not valid for use as a subject; use a family name heading from LCSH. </w:t>
      </w:r>
    </w:p>
    <w:p w:rsidR="006E7255" w:rsidRDefault="006E7255" w:rsidP="006E7255">
      <w:pPr>
        <w:spacing w:after="0"/>
        <w:ind w:left="720"/>
      </w:pPr>
      <w:r>
        <w:t xml:space="preserve">670 __ |a Nellie McArthur </w:t>
      </w:r>
      <w:proofErr w:type="spellStart"/>
      <w:r>
        <w:t>Gubler</w:t>
      </w:r>
      <w:proofErr w:type="spellEnd"/>
      <w:r>
        <w:t xml:space="preserve"> family papers, 1849-2007 |b (</w:t>
      </w:r>
      <w:proofErr w:type="spellStart"/>
      <w:r>
        <w:t>Gubler</w:t>
      </w:r>
      <w:proofErr w:type="spellEnd"/>
      <w:r>
        <w:t xml:space="preserve"> family; descendants of Kasper </w:t>
      </w:r>
      <w:proofErr w:type="spellStart"/>
      <w:r>
        <w:t>Gubler</w:t>
      </w:r>
      <w:proofErr w:type="spellEnd"/>
      <w:r>
        <w:t xml:space="preserve"> (1835-1917)) </w:t>
      </w:r>
    </w:p>
    <w:p w:rsidR="006E7255" w:rsidRDefault="006E7255" w:rsidP="006E7255">
      <w:pPr>
        <w:spacing w:after="0"/>
        <w:ind w:left="720"/>
      </w:pPr>
      <w:r>
        <w:t xml:space="preserve">953 __ |b td08 </w:t>
      </w:r>
    </w:p>
    <w:p w:rsidR="006E7255" w:rsidRDefault="006E7255" w:rsidP="006E7255">
      <w:pPr>
        <w:rPr>
          <w:lang w:eastAsia="zh-TW"/>
        </w:rPr>
      </w:pPr>
    </w:p>
    <w:p w:rsidR="006E7255" w:rsidRDefault="006E7255" w:rsidP="006E7255">
      <w:pPr>
        <w:rPr>
          <w:lang w:eastAsia="zh-TW"/>
        </w:rPr>
      </w:pPr>
    </w:p>
    <w:p w:rsidR="006E7255" w:rsidRDefault="006E7255" w:rsidP="006E7255">
      <w:pPr>
        <w:rPr>
          <w:lang w:eastAsia="zh-TW"/>
        </w:rPr>
      </w:pPr>
    </w:p>
    <w:p w:rsidR="006E7255" w:rsidRDefault="006E7255" w:rsidP="006E7255">
      <w:pPr>
        <w:rPr>
          <w:lang w:eastAsia="zh-TW"/>
        </w:rPr>
      </w:pPr>
    </w:p>
    <w:p w:rsidR="006E7255" w:rsidRDefault="006E7255" w:rsidP="006E7255">
      <w:pPr>
        <w:rPr>
          <w:lang w:eastAsia="zh-TW"/>
        </w:rPr>
      </w:pPr>
    </w:p>
    <w:p w:rsidR="006E7255" w:rsidRDefault="006E7255" w:rsidP="006E7255">
      <w:pPr>
        <w:rPr>
          <w:lang w:eastAsia="zh-TW"/>
        </w:rPr>
      </w:pPr>
    </w:p>
    <w:p w:rsidR="006E7255" w:rsidRDefault="006E7255" w:rsidP="006E7255">
      <w:pPr>
        <w:rPr>
          <w:b/>
          <w:bCs/>
        </w:rPr>
      </w:pPr>
    </w:p>
    <w:p w:rsidR="00452F16" w:rsidRDefault="00452F16" w:rsidP="006E7255">
      <w:pPr>
        <w:rPr>
          <w:b/>
          <w:bCs/>
        </w:rPr>
      </w:pPr>
    </w:p>
    <w:p w:rsidR="00452F16" w:rsidRDefault="00452F16" w:rsidP="006E7255">
      <w:pPr>
        <w:rPr>
          <w:b/>
          <w:bCs/>
        </w:rPr>
      </w:pPr>
    </w:p>
    <w:p w:rsidR="006E7255" w:rsidRDefault="006E7255" w:rsidP="006E7255">
      <w:pPr>
        <w:rPr>
          <w:b/>
          <w:bCs/>
        </w:rPr>
      </w:pPr>
    </w:p>
    <w:p w:rsidR="006B58C3" w:rsidRDefault="006B58C3" w:rsidP="006E7255">
      <w:pPr>
        <w:rPr>
          <w:sz w:val="21"/>
          <w:szCs w:val="21"/>
        </w:rPr>
      </w:pPr>
      <w:r>
        <w:rPr>
          <w:sz w:val="21"/>
          <w:szCs w:val="21"/>
        </w:rPr>
        <w:t>For the rock band, Midnight Oil:</w:t>
      </w:r>
    </w:p>
    <w:p w:rsidR="006E7255" w:rsidRDefault="006E7255" w:rsidP="006E7255">
      <w:pPr>
        <w:rPr>
          <w:sz w:val="21"/>
          <w:szCs w:val="21"/>
        </w:rPr>
      </w:pPr>
      <w:r>
        <w:rPr>
          <w:sz w:val="21"/>
          <w:szCs w:val="21"/>
        </w:rPr>
        <w:t xml:space="preserve">a) Use the RDA/MARC mappings to identify the marc tags for the RDA elements recorded </w:t>
      </w:r>
    </w:p>
    <w:p w:rsidR="006E7255" w:rsidRPr="00430B7A" w:rsidRDefault="006E7255" w:rsidP="006E7255">
      <w:pPr>
        <w:rPr>
          <w:sz w:val="21"/>
          <w:szCs w:val="21"/>
        </w:rPr>
      </w:pPr>
      <w:r>
        <w:rPr>
          <w:sz w:val="21"/>
          <w:szCs w:val="21"/>
        </w:rPr>
        <w:t>b) Construct the authorised access point</w:t>
      </w:r>
    </w:p>
    <w:p w:rsidR="006E7255" w:rsidRPr="00430B7A" w:rsidRDefault="006E7255" w:rsidP="006E7255">
      <w:pPr>
        <w:autoSpaceDE w:val="0"/>
        <w:autoSpaceDN w:val="0"/>
        <w:adjustRightInd w:val="0"/>
        <w:spacing w:after="0" w:line="240" w:lineRule="auto"/>
        <w:rPr>
          <w:rFonts w:cs="Calibri"/>
          <w:sz w:val="19"/>
          <w:szCs w:val="19"/>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1767"/>
        <w:gridCol w:w="5670"/>
      </w:tblGrid>
      <w:tr w:rsidR="006E7255" w:rsidRPr="00430B7A" w:rsidTr="00272A54">
        <w:tc>
          <w:tcPr>
            <w:tcW w:w="2310" w:type="dxa"/>
          </w:tcPr>
          <w:p w:rsidR="006E7255" w:rsidRPr="00430B7A" w:rsidRDefault="006E7255" w:rsidP="00272A54">
            <w:pPr>
              <w:rPr>
                <w:sz w:val="21"/>
                <w:szCs w:val="21"/>
                <w:lang w:eastAsia="zh-TW"/>
              </w:rPr>
            </w:pPr>
            <w:r w:rsidRPr="00430B7A">
              <w:rPr>
                <w:sz w:val="21"/>
                <w:szCs w:val="21"/>
                <w:lang w:eastAsia="zh-TW"/>
              </w:rPr>
              <w:t>RDA Element</w:t>
            </w:r>
          </w:p>
        </w:tc>
        <w:tc>
          <w:tcPr>
            <w:tcW w:w="1767" w:type="dxa"/>
          </w:tcPr>
          <w:p w:rsidR="006E7255" w:rsidRPr="00430B7A" w:rsidRDefault="006E7255" w:rsidP="00272A54">
            <w:pPr>
              <w:rPr>
                <w:sz w:val="21"/>
                <w:szCs w:val="21"/>
                <w:lang w:eastAsia="zh-TW"/>
              </w:rPr>
            </w:pPr>
            <w:r w:rsidRPr="00430B7A">
              <w:rPr>
                <w:sz w:val="21"/>
                <w:szCs w:val="21"/>
                <w:lang w:eastAsia="zh-TW"/>
              </w:rPr>
              <w:t>MARC tag and subfields</w:t>
            </w:r>
          </w:p>
        </w:tc>
        <w:tc>
          <w:tcPr>
            <w:tcW w:w="5670" w:type="dxa"/>
          </w:tcPr>
          <w:p w:rsidR="006E7255" w:rsidRPr="00430B7A" w:rsidRDefault="006E7255" w:rsidP="00272A54">
            <w:pPr>
              <w:rPr>
                <w:sz w:val="21"/>
                <w:szCs w:val="21"/>
                <w:lang w:eastAsia="zh-TW"/>
              </w:rPr>
            </w:pPr>
            <w:r w:rsidRPr="00430B7A">
              <w:rPr>
                <w:sz w:val="21"/>
                <w:szCs w:val="21"/>
                <w:lang w:eastAsia="zh-TW"/>
              </w:rPr>
              <w:t>Data Recorded</w:t>
            </w:r>
          </w:p>
        </w:tc>
      </w:tr>
      <w:tr w:rsidR="006E7255" w:rsidRPr="00430B7A" w:rsidTr="00272A54">
        <w:tc>
          <w:tcPr>
            <w:tcW w:w="2310" w:type="dxa"/>
          </w:tcPr>
          <w:p w:rsidR="006E7255" w:rsidRPr="00430B7A" w:rsidRDefault="006E7255" w:rsidP="00272A54">
            <w:pPr>
              <w:rPr>
                <w:sz w:val="21"/>
                <w:szCs w:val="21"/>
                <w:lang w:eastAsia="zh-TW"/>
              </w:rPr>
            </w:pPr>
            <w:r w:rsidRPr="00430B7A">
              <w:rPr>
                <w:sz w:val="21"/>
                <w:szCs w:val="21"/>
                <w:lang w:eastAsia="zh-TW"/>
              </w:rPr>
              <w:t>11.2.2 Preferred name for the corporate body</w:t>
            </w:r>
          </w:p>
        </w:tc>
        <w:tc>
          <w:tcPr>
            <w:tcW w:w="1767" w:type="dxa"/>
          </w:tcPr>
          <w:p w:rsidR="006E7255" w:rsidRPr="00430B7A" w:rsidRDefault="006E7255" w:rsidP="00272A54">
            <w:pPr>
              <w:rPr>
                <w:sz w:val="21"/>
                <w:szCs w:val="21"/>
                <w:lang w:eastAsia="zh-TW"/>
              </w:rPr>
            </w:pPr>
          </w:p>
        </w:tc>
        <w:tc>
          <w:tcPr>
            <w:tcW w:w="5670" w:type="dxa"/>
          </w:tcPr>
          <w:p w:rsidR="006E7255" w:rsidRPr="00430B7A" w:rsidRDefault="006E7255" w:rsidP="00272A54">
            <w:pPr>
              <w:rPr>
                <w:sz w:val="21"/>
                <w:szCs w:val="21"/>
                <w:lang w:eastAsia="zh-TW"/>
              </w:rPr>
            </w:pPr>
            <w:r>
              <w:rPr>
                <w:sz w:val="21"/>
                <w:szCs w:val="21"/>
                <w:lang w:eastAsia="zh-TW"/>
              </w:rPr>
              <w:t>Midnight Oil</w:t>
            </w:r>
          </w:p>
        </w:tc>
      </w:tr>
      <w:tr w:rsidR="006E7255" w:rsidRPr="00430B7A" w:rsidTr="00272A54">
        <w:tc>
          <w:tcPr>
            <w:tcW w:w="2310" w:type="dxa"/>
          </w:tcPr>
          <w:p w:rsidR="006E7255" w:rsidRPr="00430B7A" w:rsidRDefault="006E7255" w:rsidP="00272A54">
            <w:pPr>
              <w:rPr>
                <w:sz w:val="21"/>
                <w:szCs w:val="21"/>
                <w:lang w:eastAsia="zh-TW"/>
              </w:rPr>
            </w:pPr>
            <w:r>
              <w:rPr>
                <w:sz w:val="21"/>
                <w:szCs w:val="21"/>
                <w:lang w:eastAsia="zh-TW"/>
              </w:rPr>
              <w:t>11.2.3 Variant name</w:t>
            </w:r>
          </w:p>
        </w:tc>
        <w:tc>
          <w:tcPr>
            <w:tcW w:w="1767" w:type="dxa"/>
          </w:tcPr>
          <w:p w:rsidR="006E7255" w:rsidRPr="00430B7A" w:rsidRDefault="006E7255" w:rsidP="00272A54">
            <w:pPr>
              <w:rPr>
                <w:sz w:val="21"/>
                <w:szCs w:val="21"/>
                <w:lang w:eastAsia="zh-TW"/>
              </w:rPr>
            </w:pPr>
          </w:p>
        </w:tc>
        <w:tc>
          <w:tcPr>
            <w:tcW w:w="5670" w:type="dxa"/>
          </w:tcPr>
          <w:p w:rsidR="006E7255" w:rsidRDefault="006E7255" w:rsidP="00272A54">
            <w:pPr>
              <w:rPr>
                <w:sz w:val="21"/>
                <w:szCs w:val="21"/>
                <w:lang w:eastAsia="zh-TW"/>
              </w:rPr>
            </w:pPr>
            <w:r>
              <w:rPr>
                <w:sz w:val="21"/>
                <w:szCs w:val="21"/>
                <w:lang w:eastAsia="zh-TW"/>
              </w:rPr>
              <w:t>Oils</w:t>
            </w:r>
          </w:p>
        </w:tc>
      </w:tr>
      <w:tr w:rsidR="006E7255" w:rsidRPr="00430B7A" w:rsidTr="00272A54">
        <w:tc>
          <w:tcPr>
            <w:tcW w:w="2310" w:type="dxa"/>
          </w:tcPr>
          <w:p w:rsidR="006E7255" w:rsidRPr="00430B7A" w:rsidRDefault="006E7255" w:rsidP="00272A54">
            <w:pPr>
              <w:rPr>
                <w:sz w:val="21"/>
                <w:szCs w:val="21"/>
                <w:lang w:eastAsia="zh-TW"/>
              </w:rPr>
            </w:pPr>
            <w:r w:rsidRPr="00430B7A">
              <w:rPr>
                <w:sz w:val="21"/>
                <w:szCs w:val="21"/>
                <w:lang w:eastAsia="zh-TW"/>
              </w:rPr>
              <w:t>11.3 Place</w:t>
            </w:r>
          </w:p>
        </w:tc>
        <w:tc>
          <w:tcPr>
            <w:tcW w:w="1767" w:type="dxa"/>
          </w:tcPr>
          <w:p w:rsidR="006E7255" w:rsidRPr="00430B7A" w:rsidRDefault="006E7255" w:rsidP="00272A54">
            <w:pPr>
              <w:rPr>
                <w:sz w:val="21"/>
                <w:szCs w:val="21"/>
                <w:lang w:eastAsia="zh-TW"/>
              </w:rPr>
            </w:pPr>
            <w:r>
              <w:rPr>
                <w:sz w:val="21"/>
                <w:szCs w:val="21"/>
                <w:lang w:eastAsia="zh-TW"/>
              </w:rPr>
              <w:t>370 $a</w:t>
            </w:r>
          </w:p>
        </w:tc>
        <w:tc>
          <w:tcPr>
            <w:tcW w:w="5670" w:type="dxa"/>
          </w:tcPr>
          <w:p w:rsidR="006E7255" w:rsidRPr="00430B7A" w:rsidRDefault="006E7255" w:rsidP="00272A54">
            <w:pPr>
              <w:rPr>
                <w:sz w:val="21"/>
                <w:szCs w:val="21"/>
                <w:lang w:eastAsia="zh-TW"/>
              </w:rPr>
            </w:pPr>
            <w:r>
              <w:rPr>
                <w:sz w:val="21"/>
                <w:szCs w:val="21"/>
                <w:lang w:eastAsia="zh-TW"/>
              </w:rPr>
              <w:t>Australia</w:t>
            </w:r>
          </w:p>
        </w:tc>
      </w:tr>
      <w:tr w:rsidR="006E7255" w:rsidRPr="00430B7A" w:rsidTr="00272A54">
        <w:tc>
          <w:tcPr>
            <w:tcW w:w="2310" w:type="dxa"/>
          </w:tcPr>
          <w:p w:rsidR="006E7255" w:rsidRPr="00430B7A" w:rsidRDefault="006E7255" w:rsidP="00272A54">
            <w:pPr>
              <w:rPr>
                <w:sz w:val="21"/>
                <w:szCs w:val="21"/>
                <w:lang w:eastAsia="zh-TW"/>
              </w:rPr>
            </w:pPr>
            <w:r w:rsidRPr="00430B7A">
              <w:rPr>
                <w:sz w:val="21"/>
                <w:szCs w:val="21"/>
                <w:lang w:eastAsia="zh-TW"/>
              </w:rPr>
              <w:t>11.4.</w:t>
            </w:r>
            <w:r>
              <w:rPr>
                <w:sz w:val="21"/>
                <w:szCs w:val="21"/>
                <w:lang w:eastAsia="zh-TW"/>
              </w:rPr>
              <w:t>3</w:t>
            </w:r>
            <w:r w:rsidRPr="00430B7A">
              <w:rPr>
                <w:sz w:val="21"/>
                <w:szCs w:val="21"/>
                <w:lang w:eastAsia="zh-TW"/>
              </w:rPr>
              <w:t xml:space="preserve"> Date </w:t>
            </w:r>
            <w:r>
              <w:rPr>
                <w:sz w:val="21"/>
                <w:szCs w:val="21"/>
                <w:lang w:eastAsia="zh-TW"/>
              </w:rPr>
              <w:t>of establishment</w:t>
            </w:r>
          </w:p>
        </w:tc>
        <w:tc>
          <w:tcPr>
            <w:tcW w:w="1767" w:type="dxa"/>
          </w:tcPr>
          <w:p w:rsidR="006E7255" w:rsidRPr="00430B7A" w:rsidRDefault="006E7255" w:rsidP="00272A54">
            <w:pPr>
              <w:rPr>
                <w:sz w:val="21"/>
                <w:szCs w:val="21"/>
                <w:lang w:eastAsia="zh-TW"/>
              </w:rPr>
            </w:pPr>
            <w:r>
              <w:rPr>
                <w:sz w:val="21"/>
                <w:szCs w:val="21"/>
                <w:lang w:eastAsia="zh-TW"/>
              </w:rPr>
              <w:t>046 $s</w:t>
            </w:r>
          </w:p>
        </w:tc>
        <w:tc>
          <w:tcPr>
            <w:tcW w:w="5670" w:type="dxa"/>
          </w:tcPr>
          <w:p w:rsidR="006E7255" w:rsidRPr="00430B7A" w:rsidRDefault="006E7255" w:rsidP="00272A54">
            <w:pPr>
              <w:rPr>
                <w:sz w:val="21"/>
                <w:szCs w:val="21"/>
                <w:lang w:eastAsia="zh-TW"/>
              </w:rPr>
            </w:pPr>
            <w:r>
              <w:rPr>
                <w:sz w:val="21"/>
                <w:szCs w:val="21"/>
                <w:lang w:eastAsia="zh-TW"/>
              </w:rPr>
              <w:t>1976</w:t>
            </w:r>
          </w:p>
        </w:tc>
      </w:tr>
      <w:tr w:rsidR="006E7255" w:rsidRPr="00430B7A" w:rsidTr="00272A54">
        <w:tc>
          <w:tcPr>
            <w:tcW w:w="2310" w:type="dxa"/>
          </w:tcPr>
          <w:p w:rsidR="006E7255" w:rsidRPr="00430B7A" w:rsidRDefault="006E7255" w:rsidP="00272A54">
            <w:pPr>
              <w:rPr>
                <w:sz w:val="21"/>
                <w:szCs w:val="21"/>
                <w:lang w:eastAsia="zh-TW"/>
              </w:rPr>
            </w:pPr>
            <w:r>
              <w:rPr>
                <w:sz w:val="21"/>
                <w:szCs w:val="21"/>
                <w:lang w:eastAsia="zh-TW"/>
              </w:rPr>
              <w:t>11.4.4 Date of termination</w:t>
            </w:r>
          </w:p>
        </w:tc>
        <w:tc>
          <w:tcPr>
            <w:tcW w:w="1767" w:type="dxa"/>
          </w:tcPr>
          <w:p w:rsidR="006E7255" w:rsidRPr="00430B7A" w:rsidRDefault="006E7255" w:rsidP="00272A54">
            <w:pPr>
              <w:rPr>
                <w:sz w:val="21"/>
                <w:szCs w:val="21"/>
                <w:lang w:eastAsia="zh-TW"/>
              </w:rPr>
            </w:pPr>
            <w:r>
              <w:rPr>
                <w:sz w:val="21"/>
                <w:szCs w:val="21"/>
                <w:lang w:eastAsia="zh-TW"/>
              </w:rPr>
              <w:t>046 $t</w:t>
            </w:r>
          </w:p>
        </w:tc>
        <w:tc>
          <w:tcPr>
            <w:tcW w:w="5670" w:type="dxa"/>
          </w:tcPr>
          <w:p w:rsidR="006E7255" w:rsidRPr="00430B7A" w:rsidRDefault="006E7255" w:rsidP="00272A54">
            <w:pPr>
              <w:rPr>
                <w:sz w:val="21"/>
                <w:szCs w:val="21"/>
                <w:lang w:eastAsia="zh-TW"/>
              </w:rPr>
            </w:pPr>
            <w:r>
              <w:rPr>
                <w:sz w:val="21"/>
                <w:szCs w:val="21"/>
                <w:lang w:eastAsia="zh-TW"/>
              </w:rPr>
              <w:t>2002</w:t>
            </w:r>
          </w:p>
        </w:tc>
      </w:tr>
      <w:tr w:rsidR="006E7255" w:rsidRPr="00430B7A" w:rsidTr="00272A54">
        <w:tc>
          <w:tcPr>
            <w:tcW w:w="2310" w:type="dxa"/>
          </w:tcPr>
          <w:p w:rsidR="006E7255" w:rsidRPr="00430B7A" w:rsidRDefault="006E7255" w:rsidP="00272A54">
            <w:pPr>
              <w:rPr>
                <w:sz w:val="21"/>
                <w:szCs w:val="21"/>
                <w:lang w:eastAsia="zh-TW"/>
              </w:rPr>
            </w:pPr>
            <w:r w:rsidRPr="00430B7A">
              <w:rPr>
                <w:sz w:val="21"/>
                <w:szCs w:val="21"/>
                <w:lang w:eastAsia="zh-TW"/>
              </w:rPr>
              <w:t>11.7 Other designation</w:t>
            </w:r>
          </w:p>
        </w:tc>
        <w:tc>
          <w:tcPr>
            <w:tcW w:w="1767" w:type="dxa"/>
          </w:tcPr>
          <w:p w:rsidR="006E7255" w:rsidRPr="00430B7A" w:rsidRDefault="006E7255" w:rsidP="00272A54">
            <w:pPr>
              <w:rPr>
                <w:sz w:val="21"/>
                <w:szCs w:val="21"/>
                <w:lang w:eastAsia="zh-TW"/>
              </w:rPr>
            </w:pPr>
            <w:r>
              <w:rPr>
                <w:sz w:val="21"/>
                <w:szCs w:val="21"/>
                <w:lang w:eastAsia="zh-TW"/>
              </w:rPr>
              <w:t xml:space="preserve"> </w:t>
            </w:r>
          </w:p>
        </w:tc>
        <w:tc>
          <w:tcPr>
            <w:tcW w:w="5670" w:type="dxa"/>
          </w:tcPr>
          <w:p w:rsidR="006E7255" w:rsidRPr="00430B7A" w:rsidRDefault="006E7255" w:rsidP="00272A54">
            <w:pPr>
              <w:rPr>
                <w:sz w:val="21"/>
                <w:szCs w:val="21"/>
                <w:lang w:eastAsia="zh-TW"/>
              </w:rPr>
            </w:pPr>
            <w:r>
              <w:rPr>
                <w:sz w:val="21"/>
                <w:szCs w:val="21"/>
                <w:lang w:eastAsia="zh-TW"/>
              </w:rPr>
              <w:t>Musical group</w:t>
            </w:r>
          </w:p>
        </w:tc>
      </w:tr>
      <w:tr w:rsidR="006E7255" w:rsidRPr="00430B7A" w:rsidTr="00272A54">
        <w:tc>
          <w:tcPr>
            <w:tcW w:w="2310" w:type="dxa"/>
          </w:tcPr>
          <w:p w:rsidR="006E7255" w:rsidRPr="00430B7A" w:rsidRDefault="006E7255" w:rsidP="00272A54">
            <w:pPr>
              <w:rPr>
                <w:sz w:val="21"/>
                <w:szCs w:val="21"/>
                <w:lang w:eastAsia="zh-TW"/>
              </w:rPr>
            </w:pPr>
            <w:r w:rsidRPr="00430B7A">
              <w:rPr>
                <w:sz w:val="21"/>
                <w:szCs w:val="21"/>
                <w:lang w:eastAsia="zh-TW"/>
              </w:rPr>
              <w:t>11.8 Language</w:t>
            </w:r>
          </w:p>
        </w:tc>
        <w:tc>
          <w:tcPr>
            <w:tcW w:w="1767" w:type="dxa"/>
          </w:tcPr>
          <w:p w:rsidR="006E7255" w:rsidRPr="00430B7A" w:rsidRDefault="006E7255" w:rsidP="00272A54">
            <w:pPr>
              <w:rPr>
                <w:sz w:val="21"/>
                <w:szCs w:val="21"/>
                <w:lang w:eastAsia="zh-TW"/>
              </w:rPr>
            </w:pPr>
            <w:r>
              <w:rPr>
                <w:sz w:val="21"/>
                <w:szCs w:val="21"/>
                <w:lang w:eastAsia="zh-TW"/>
              </w:rPr>
              <w:t>377</w:t>
            </w:r>
          </w:p>
        </w:tc>
        <w:tc>
          <w:tcPr>
            <w:tcW w:w="5670" w:type="dxa"/>
          </w:tcPr>
          <w:p w:rsidR="006E7255" w:rsidRPr="00430B7A" w:rsidRDefault="006E7255" w:rsidP="00272A54">
            <w:pPr>
              <w:rPr>
                <w:sz w:val="21"/>
                <w:szCs w:val="21"/>
                <w:lang w:eastAsia="zh-TW"/>
              </w:rPr>
            </w:pPr>
            <w:r>
              <w:rPr>
                <w:sz w:val="21"/>
                <w:szCs w:val="21"/>
                <w:lang w:eastAsia="zh-TW"/>
              </w:rPr>
              <w:t>English</w:t>
            </w:r>
          </w:p>
        </w:tc>
      </w:tr>
      <w:tr w:rsidR="006E7255" w:rsidRPr="00430B7A" w:rsidTr="00272A54">
        <w:tc>
          <w:tcPr>
            <w:tcW w:w="2310" w:type="dxa"/>
          </w:tcPr>
          <w:p w:rsidR="006E7255" w:rsidRPr="00430B7A" w:rsidRDefault="006E7255" w:rsidP="00272A54">
            <w:pPr>
              <w:rPr>
                <w:sz w:val="21"/>
                <w:szCs w:val="21"/>
                <w:lang w:eastAsia="zh-TW"/>
              </w:rPr>
            </w:pPr>
            <w:r w:rsidRPr="00430B7A">
              <w:rPr>
                <w:sz w:val="21"/>
                <w:szCs w:val="21"/>
                <w:lang w:eastAsia="zh-TW"/>
              </w:rPr>
              <w:t>11.10 Field of activity</w:t>
            </w:r>
          </w:p>
        </w:tc>
        <w:tc>
          <w:tcPr>
            <w:tcW w:w="1767" w:type="dxa"/>
          </w:tcPr>
          <w:p w:rsidR="006E7255" w:rsidRPr="00430B7A" w:rsidRDefault="006E7255" w:rsidP="00272A54">
            <w:pPr>
              <w:rPr>
                <w:sz w:val="21"/>
                <w:szCs w:val="21"/>
                <w:lang w:eastAsia="zh-TW"/>
              </w:rPr>
            </w:pPr>
            <w:r>
              <w:rPr>
                <w:sz w:val="21"/>
                <w:szCs w:val="21"/>
                <w:lang w:eastAsia="zh-TW"/>
              </w:rPr>
              <w:t>372</w:t>
            </w:r>
          </w:p>
        </w:tc>
        <w:tc>
          <w:tcPr>
            <w:tcW w:w="5670" w:type="dxa"/>
          </w:tcPr>
          <w:p w:rsidR="006E7255" w:rsidRPr="00430B7A" w:rsidRDefault="006E7255" w:rsidP="00272A54">
            <w:pPr>
              <w:rPr>
                <w:sz w:val="21"/>
                <w:szCs w:val="21"/>
                <w:lang w:eastAsia="zh-TW"/>
              </w:rPr>
            </w:pPr>
            <w:r>
              <w:rPr>
                <w:sz w:val="21"/>
                <w:szCs w:val="21"/>
                <w:lang w:eastAsia="zh-TW"/>
              </w:rPr>
              <w:t>Music</w:t>
            </w:r>
          </w:p>
        </w:tc>
      </w:tr>
      <w:tr w:rsidR="006E7255" w:rsidRPr="00430B7A" w:rsidTr="00272A54">
        <w:tc>
          <w:tcPr>
            <w:tcW w:w="2310" w:type="dxa"/>
          </w:tcPr>
          <w:p w:rsidR="006E7255" w:rsidRPr="00430B7A" w:rsidRDefault="006E7255" w:rsidP="00272A54">
            <w:pPr>
              <w:rPr>
                <w:sz w:val="21"/>
                <w:szCs w:val="21"/>
                <w:lang w:eastAsia="zh-TW"/>
              </w:rPr>
            </w:pPr>
            <w:r>
              <w:rPr>
                <w:sz w:val="21"/>
                <w:szCs w:val="21"/>
                <w:lang w:eastAsia="zh-TW"/>
              </w:rPr>
              <w:t>8.12 Source consulted</w:t>
            </w:r>
          </w:p>
        </w:tc>
        <w:tc>
          <w:tcPr>
            <w:tcW w:w="1767" w:type="dxa"/>
          </w:tcPr>
          <w:p w:rsidR="006E7255" w:rsidRPr="00430B7A" w:rsidRDefault="006E7255" w:rsidP="00272A54">
            <w:pPr>
              <w:rPr>
                <w:sz w:val="21"/>
                <w:szCs w:val="21"/>
                <w:lang w:eastAsia="zh-TW"/>
              </w:rPr>
            </w:pPr>
            <w:r>
              <w:rPr>
                <w:sz w:val="21"/>
                <w:szCs w:val="21"/>
                <w:lang w:eastAsia="zh-TW"/>
              </w:rPr>
              <w:t>670</w:t>
            </w:r>
          </w:p>
        </w:tc>
        <w:tc>
          <w:tcPr>
            <w:tcW w:w="5670" w:type="dxa"/>
          </w:tcPr>
          <w:p w:rsidR="006E7255" w:rsidRDefault="006E7255" w:rsidP="00272A54">
            <w:pPr>
              <w:rPr>
                <w:sz w:val="21"/>
                <w:szCs w:val="21"/>
                <w:lang w:eastAsia="zh-TW"/>
              </w:rPr>
            </w:pPr>
            <w:r>
              <w:rPr>
                <w:sz w:val="21"/>
                <w:szCs w:val="21"/>
                <w:lang w:eastAsia="zh-TW"/>
              </w:rPr>
              <w:t xml:space="preserve">Allmusic.com web site, September 5, 2012 (Midnight Oil, also known as The Oils formed as The Farm in 1971.  They changed their name in 1976. The band announced its split in December 2002 when </w:t>
            </w:r>
            <w:proofErr w:type="spellStart"/>
            <w:r>
              <w:rPr>
                <w:sz w:val="21"/>
                <w:szCs w:val="21"/>
                <w:lang w:eastAsia="zh-TW"/>
              </w:rPr>
              <w:t>frontman</w:t>
            </w:r>
            <w:proofErr w:type="spellEnd"/>
            <w:r>
              <w:rPr>
                <w:sz w:val="21"/>
                <w:szCs w:val="21"/>
                <w:lang w:eastAsia="zh-TW"/>
              </w:rPr>
              <w:t xml:space="preserve"> Peter Garrett left to pursue politics)</w:t>
            </w:r>
          </w:p>
        </w:tc>
      </w:tr>
      <w:tr w:rsidR="006E7255" w:rsidRPr="00430B7A" w:rsidTr="00272A54">
        <w:tc>
          <w:tcPr>
            <w:tcW w:w="2310" w:type="dxa"/>
          </w:tcPr>
          <w:p w:rsidR="006E7255" w:rsidRPr="00430B7A" w:rsidRDefault="006E7255" w:rsidP="00272A54">
            <w:pPr>
              <w:rPr>
                <w:sz w:val="21"/>
                <w:szCs w:val="21"/>
                <w:lang w:eastAsia="zh-TW"/>
              </w:rPr>
            </w:pPr>
            <w:r w:rsidRPr="00430B7A">
              <w:rPr>
                <w:sz w:val="21"/>
                <w:szCs w:val="21"/>
                <w:lang w:eastAsia="zh-TW"/>
              </w:rPr>
              <w:t>11.13.1 Access point</w:t>
            </w:r>
          </w:p>
        </w:tc>
        <w:tc>
          <w:tcPr>
            <w:tcW w:w="1767" w:type="dxa"/>
          </w:tcPr>
          <w:p w:rsidR="006E7255" w:rsidRPr="00430B7A" w:rsidRDefault="006E7255" w:rsidP="00272A54">
            <w:pPr>
              <w:rPr>
                <w:sz w:val="21"/>
                <w:szCs w:val="21"/>
                <w:lang w:eastAsia="zh-TW"/>
              </w:rPr>
            </w:pPr>
            <w:r>
              <w:rPr>
                <w:sz w:val="21"/>
                <w:szCs w:val="21"/>
                <w:lang w:eastAsia="zh-TW"/>
              </w:rPr>
              <w:t>110 2#</w:t>
            </w:r>
          </w:p>
        </w:tc>
        <w:tc>
          <w:tcPr>
            <w:tcW w:w="5670" w:type="dxa"/>
          </w:tcPr>
          <w:p w:rsidR="006E7255" w:rsidRPr="00430B7A" w:rsidRDefault="006E7255" w:rsidP="00272A54">
            <w:pPr>
              <w:rPr>
                <w:sz w:val="21"/>
                <w:szCs w:val="21"/>
                <w:lang w:eastAsia="zh-TW"/>
              </w:rPr>
            </w:pPr>
            <w:r>
              <w:rPr>
                <w:sz w:val="21"/>
                <w:szCs w:val="21"/>
                <w:lang w:eastAsia="zh-TW"/>
              </w:rPr>
              <w:t>Midnight Oil (Musical group)</w:t>
            </w:r>
          </w:p>
        </w:tc>
      </w:tr>
      <w:tr w:rsidR="006E7255" w:rsidRPr="00430B7A" w:rsidTr="00272A54">
        <w:tc>
          <w:tcPr>
            <w:tcW w:w="2310" w:type="dxa"/>
          </w:tcPr>
          <w:p w:rsidR="006E7255" w:rsidRPr="00430B7A" w:rsidRDefault="006E7255" w:rsidP="00272A54">
            <w:pPr>
              <w:rPr>
                <w:sz w:val="21"/>
                <w:szCs w:val="21"/>
                <w:lang w:eastAsia="zh-TW"/>
              </w:rPr>
            </w:pPr>
            <w:r>
              <w:rPr>
                <w:sz w:val="21"/>
                <w:szCs w:val="21"/>
                <w:lang w:eastAsia="zh-TW"/>
              </w:rPr>
              <w:t>11.13.2 Variant access point</w:t>
            </w:r>
          </w:p>
        </w:tc>
        <w:tc>
          <w:tcPr>
            <w:tcW w:w="1767" w:type="dxa"/>
          </w:tcPr>
          <w:p w:rsidR="006E7255" w:rsidRPr="00430B7A" w:rsidRDefault="006E7255" w:rsidP="00272A54">
            <w:pPr>
              <w:rPr>
                <w:sz w:val="21"/>
                <w:szCs w:val="21"/>
                <w:lang w:eastAsia="zh-TW"/>
              </w:rPr>
            </w:pPr>
            <w:r>
              <w:rPr>
                <w:sz w:val="21"/>
                <w:szCs w:val="21"/>
                <w:lang w:eastAsia="zh-TW"/>
              </w:rPr>
              <w:t>410 2#</w:t>
            </w:r>
          </w:p>
        </w:tc>
        <w:tc>
          <w:tcPr>
            <w:tcW w:w="5670" w:type="dxa"/>
          </w:tcPr>
          <w:p w:rsidR="006E7255" w:rsidRPr="00430B7A" w:rsidRDefault="006E7255" w:rsidP="00272A54">
            <w:pPr>
              <w:rPr>
                <w:sz w:val="21"/>
                <w:szCs w:val="21"/>
                <w:lang w:eastAsia="zh-TW"/>
              </w:rPr>
            </w:pPr>
            <w:r>
              <w:rPr>
                <w:sz w:val="21"/>
                <w:szCs w:val="21"/>
                <w:lang w:eastAsia="zh-TW"/>
              </w:rPr>
              <w:t>Oils (Musical group)</w:t>
            </w:r>
          </w:p>
        </w:tc>
      </w:tr>
    </w:tbl>
    <w:p w:rsidR="00DD25EE" w:rsidRDefault="00DD25EE" w:rsidP="00B83498">
      <w:pPr>
        <w:pStyle w:val="Heading2"/>
        <w:rPr>
          <w:lang w:eastAsia="zh-TW"/>
        </w:rPr>
      </w:pPr>
    </w:p>
    <w:p w:rsidR="00B37BDC" w:rsidRDefault="00B37BDC" w:rsidP="00DD25EE">
      <w:pPr>
        <w:rPr>
          <w:lang w:eastAsia="zh-TW"/>
        </w:rPr>
      </w:pPr>
    </w:p>
    <w:p w:rsidR="00B37BDC" w:rsidRPr="00F02371" w:rsidRDefault="00B37BDC" w:rsidP="00DD25EE">
      <w:pPr>
        <w:rPr>
          <w:lang w:eastAsia="zh-TW"/>
        </w:rPr>
      </w:pPr>
    </w:p>
    <w:p w:rsidR="00D331D9" w:rsidRDefault="00D331D9" w:rsidP="00D331D9">
      <w:pPr>
        <w:pStyle w:val="Heading2"/>
      </w:pPr>
    </w:p>
    <w:p w:rsidR="00C50221" w:rsidRPr="00F02371" w:rsidRDefault="00C50221" w:rsidP="00D331D9">
      <w:pPr>
        <w:rPr>
          <w:lang w:eastAsia="zh-TW"/>
        </w:rPr>
      </w:pPr>
    </w:p>
    <w:p w:rsidR="00C50221" w:rsidRPr="00F02371" w:rsidRDefault="00C50221" w:rsidP="00FC5E20">
      <w:pPr>
        <w:rPr>
          <w:lang w:eastAsia="zh-TW"/>
        </w:rPr>
      </w:pPr>
      <w:r w:rsidRPr="00F02371">
        <w:rPr>
          <w:lang w:eastAsia="zh-TW"/>
        </w:rPr>
        <w:t xml:space="preserve"> </w:t>
      </w:r>
    </w:p>
    <w:p w:rsidR="00D26A97" w:rsidRDefault="00D26A97" w:rsidP="00D26A97">
      <w:pPr>
        <w:pStyle w:val="Heading2"/>
        <w:rPr>
          <w:lang w:eastAsia="zh-TW"/>
        </w:rPr>
      </w:pPr>
      <w:r>
        <w:rPr>
          <w:lang w:eastAsia="zh-TW"/>
        </w:rPr>
        <w:br w:type="page"/>
      </w:r>
      <w:r>
        <w:rPr>
          <w:lang w:eastAsia="zh-TW"/>
        </w:rPr>
        <w:lastRenderedPageBreak/>
        <w:t>Summary</w:t>
      </w:r>
    </w:p>
    <w:p w:rsidR="007A6CC9" w:rsidRPr="00F02371" w:rsidRDefault="000E7DAA" w:rsidP="00D26A97">
      <w:pPr>
        <w:rPr>
          <w:lang w:eastAsia="zh-TW"/>
        </w:rPr>
      </w:pPr>
      <w:r>
        <w:rPr>
          <w:noProof/>
          <w:lang w:val="en-US" w:eastAsia="zh-CN" w:bidi="th-TH"/>
        </w:rPr>
        <w:drawing>
          <wp:anchor distT="0" distB="0" distL="114300" distR="114300" simplePos="0" relativeHeight="251678208" behindDoc="0" locked="0" layoutInCell="1" allowOverlap="1">
            <wp:simplePos x="0" y="0"/>
            <wp:positionH relativeFrom="column">
              <wp:posOffset>1226820</wp:posOffset>
            </wp:positionH>
            <wp:positionV relativeFrom="paragraph">
              <wp:posOffset>263525</wp:posOffset>
            </wp:positionV>
            <wp:extent cx="2763520" cy="2075815"/>
            <wp:effectExtent l="19050" t="19050" r="17780" b="1968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srcRect/>
                    <a:stretch>
                      <a:fillRect/>
                    </a:stretch>
                  </pic:blipFill>
                  <pic:spPr bwMode="auto">
                    <a:xfrm>
                      <a:off x="0" y="0"/>
                      <a:ext cx="2763520" cy="2075815"/>
                    </a:xfrm>
                    <a:prstGeom prst="rect">
                      <a:avLst/>
                    </a:prstGeom>
                    <a:noFill/>
                    <a:ln w="12700">
                      <a:solidFill>
                        <a:srgbClr val="000000"/>
                      </a:solidFill>
                      <a:miter lim="800000"/>
                      <a:headEnd/>
                      <a:tailEnd/>
                    </a:ln>
                  </pic:spPr>
                </pic:pic>
              </a:graphicData>
            </a:graphic>
          </wp:anchor>
        </w:drawing>
      </w:r>
      <w:r w:rsidR="00D26A97" w:rsidRPr="00F02371">
        <w:rPr>
          <w:lang w:eastAsia="zh-TW"/>
        </w:rPr>
        <w:br w:type="page"/>
      </w:r>
    </w:p>
    <w:p w:rsidR="00D331D9" w:rsidRPr="00644431" w:rsidRDefault="00D331D9" w:rsidP="00D331D9">
      <w:pPr>
        <w:rPr>
          <w:lang w:val="en-US" w:eastAsia="zh-CN" w:bidi="th-TH"/>
        </w:rPr>
      </w:pPr>
    </w:p>
    <w:sectPr w:rsidR="00D331D9" w:rsidRPr="00644431" w:rsidSect="007E01E8">
      <w:headerReference w:type="defaul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1E8" w:rsidRDefault="007E01E8">
      <w:pPr>
        <w:spacing w:after="0" w:line="240" w:lineRule="auto"/>
      </w:pPr>
      <w:r>
        <w:separator/>
      </w:r>
    </w:p>
  </w:endnote>
  <w:endnote w:type="continuationSeparator" w:id="0">
    <w:p w:rsidR="007E01E8" w:rsidRDefault="007E0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E8" w:rsidRDefault="007E01E8" w:rsidP="007E01E8">
    <w:pPr>
      <w:pStyle w:val="Footer"/>
      <w:jc w:val="center"/>
    </w:pPr>
    <w:r w:rsidRPr="00BF3691">
      <w:rPr>
        <w:noProof/>
        <w:lang w:val="en-US" w:eastAsia="zh-CN" w:bidi="th-TH"/>
      </w:rPr>
      <w:drawing>
        <wp:anchor distT="0" distB="0" distL="114300" distR="114300" simplePos="0" relativeHeight="251662336" behindDoc="1" locked="0" layoutInCell="1" allowOverlap="1">
          <wp:simplePos x="0" y="0"/>
          <wp:positionH relativeFrom="page">
            <wp:posOffset>5391150</wp:posOffset>
          </wp:positionH>
          <wp:positionV relativeFrom="page">
            <wp:posOffset>9896475</wp:posOffset>
          </wp:positionV>
          <wp:extent cx="2162175" cy="790575"/>
          <wp:effectExtent l="19050" t="0" r="9525" b="0"/>
          <wp:wrapNone/>
          <wp:docPr id="4"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1"/>
                  <a:stretch>
                    <a:fillRect/>
                  </a:stretch>
                </pic:blipFill>
                <pic:spPr>
                  <a:xfrm>
                    <a:off x="0" y="0"/>
                    <a:ext cx="2162175" cy="790575"/>
                  </a:xfrm>
                  <a:prstGeom prst="rect">
                    <a:avLst/>
                  </a:prstGeom>
                </pic:spPr>
              </pic:pic>
            </a:graphicData>
          </a:graphic>
        </wp:anchor>
      </w:drawing>
    </w:r>
    <w:r w:rsidRPr="00BF3691">
      <w:rPr>
        <w:noProof/>
        <w:lang w:val="en-US" w:eastAsia="zh-CN" w:bidi="th-TH"/>
      </w:rPr>
      <w:drawing>
        <wp:anchor distT="0" distB="0" distL="114300" distR="114300" simplePos="0" relativeHeight="251661312" behindDoc="1" locked="1" layoutInCell="1" allowOverlap="1">
          <wp:simplePos x="0" y="0"/>
          <wp:positionH relativeFrom="page">
            <wp:posOffset>0</wp:posOffset>
          </wp:positionH>
          <wp:positionV relativeFrom="page">
            <wp:posOffset>9563100</wp:posOffset>
          </wp:positionV>
          <wp:extent cx="1267460" cy="1123950"/>
          <wp:effectExtent l="19050" t="0" r="8890" b="0"/>
          <wp:wrapNone/>
          <wp:docPr id="2"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2"/>
                  <a:stretch>
                    <a:fillRect/>
                  </a:stretch>
                </pic:blipFill>
                <pic:spPr>
                  <a:xfrm>
                    <a:off x="0" y="0"/>
                    <a:ext cx="1267460" cy="1123950"/>
                  </a:xfrm>
                  <a:prstGeom prst="rect">
                    <a:avLst/>
                  </a:prstGeom>
                </pic:spPr>
              </pic:pic>
            </a:graphicData>
          </a:graphic>
        </wp:anchor>
      </w:drawing>
    </w:r>
    <w:r>
      <w:t>Teaching RDA (National Library of Australia, 2012)</w:t>
    </w:r>
  </w:p>
  <w:p w:rsidR="007E01E8" w:rsidRDefault="007E01E8">
    <w:pPr>
      <w:pStyle w:val="Footer"/>
    </w:pPr>
    <w:r w:rsidRPr="007E01E8">
      <w:rPr>
        <w:noProof/>
        <w:lang w:val="en-US" w:eastAsia="zh-CN" w:bidi="th-TH"/>
      </w:rPr>
      <w:drawing>
        <wp:anchor distT="0" distB="0" distL="114300" distR="114300" simplePos="0" relativeHeight="251659264" behindDoc="1" locked="1" layoutInCell="1" allowOverlap="1">
          <wp:simplePos x="0" y="0"/>
          <wp:positionH relativeFrom="page">
            <wp:posOffset>-4701</wp:posOffset>
          </wp:positionH>
          <wp:positionV relativeFrom="page">
            <wp:posOffset>9559636</wp:posOffset>
          </wp:positionV>
          <wp:extent cx="1266471" cy="1128156"/>
          <wp:effectExtent l="19050" t="0" r="8890" b="0"/>
          <wp:wrapNone/>
          <wp:docPr id="1"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2"/>
                  <a:stretch>
                    <a:fillRect/>
                  </a:stretch>
                </pic:blipFill>
                <pic:spPr>
                  <a:xfrm>
                    <a:off x="0" y="0"/>
                    <a:ext cx="1267460" cy="11239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1E8" w:rsidRDefault="007E01E8">
      <w:pPr>
        <w:spacing w:after="0" w:line="240" w:lineRule="auto"/>
      </w:pPr>
      <w:r>
        <w:separator/>
      </w:r>
    </w:p>
  </w:footnote>
  <w:footnote w:type="continuationSeparator" w:id="0">
    <w:p w:rsidR="007E01E8" w:rsidRDefault="007E0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E8" w:rsidRDefault="007E01E8" w:rsidP="00362091">
    <w:pPr>
      <w:pStyle w:val="Header"/>
    </w:pPr>
    <w:r>
      <w:t xml:space="preserve">Page </w:t>
    </w:r>
    <w:r w:rsidR="00391587">
      <w:rPr>
        <w:b/>
        <w:sz w:val="24"/>
        <w:szCs w:val="24"/>
      </w:rPr>
      <w:fldChar w:fldCharType="begin"/>
    </w:r>
    <w:r>
      <w:rPr>
        <w:b/>
      </w:rPr>
      <w:instrText xml:space="preserve"> PAGE </w:instrText>
    </w:r>
    <w:r w:rsidR="00391587">
      <w:rPr>
        <w:b/>
        <w:sz w:val="24"/>
        <w:szCs w:val="24"/>
      </w:rPr>
      <w:fldChar w:fldCharType="separate"/>
    </w:r>
    <w:r w:rsidR="006B58C3">
      <w:rPr>
        <w:b/>
        <w:noProof/>
      </w:rPr>
      <w:t>13</w:t>
    </w:r>
    <w:r w:rsidR="00391587">
      <w:rPr>
        <w:b/>
        <w:sz w:val="24"/>
        <w:szCs w:val="24"/>
      </w:rPr>
      <w:fldChar w:fldCharType="end"/>
    </w:r>
    <w:r>
      <w:t xml:space="preserve"> of </w:t>
    </w:r>
    <w:r w:rsidR="00391587">
      <w:rPr>
        <w:b/>
        <w:sz w:val="24"/>
        <w:szCs w:val="24"/>
      </w:rPr>
      <w:fldChar w:fldCharType="begin"/>
    </w:r>
    <w:r>
      <w:rPr>
        <w:b/>
      </w:rPr>
      <w:instrText xml:space="preserve"> NUMPAGES  </w:instrText>
    </w:r>
    <w:r w:rsidR="00391587">
      <w:rPr>
        <w:b/>
        <w:sz w:val="24"/>
        <w:szCs w:val="24"/>
      </w:rPr>
      <w:fldChar w:fldCharType="separate"/>
    </w:r>
    <w:r w:rsidR="006B58C3">
      <w:rPr>
        <w:b/>
        <w:noProof/>
      </w:rPr>
      <w:t>13</w:t>
    </w:r>
    <w:r w:rsidR="00391587">
      <w:rPr>
        <w:b/>
        <w:sz w:val="24"/>
        <w:szCs w:val="24"/>
      </w:rPr>
      <w:fldChar w:fldCharType="end"/>
    </w:r>
    <w:r>
      <w:rPr>
        <w:b/>
        <w:sz w:val="24"/>
        <w:szCs w:val="24"/>
      </w:rPr>
      <w:tab/>
      <w:t>Teaching RDA: Module 11</w:t>
    </w:r>
    <w:r>
      <w:rPr>
        <w:b/>
        <w:sz w:val="24"/>
        <w:szCs w:val="24"/>
      </w:rPr>
      <w:tab/>
    </w:r>
    <w:r w:rsidR="00636A9F">
      <w:rPr>
        <w:b/>
        <w:sz w:val="24"/>
        <w:szCs w:val="24"/>
      </w:rPr>
      <w:t>September-November</w:t>
    </w:r>
    <w:r>
      <w:rPr>
        <w:b/>
        <w:sz w:val="24"/>
        <w:szCs w:val="24"/>
      </w:rPr>
      <w:t xml:space="preserve"> 2012</w:t>
    </w:r>
  </w:p>
  <w:p w:rsidR="007E01E8" w:rsidRDefault="007E0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8E9"/>
    <w:multiLevelType w:val="hybridMultilevel"/>
    <w:tmpl w:val="C5782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F06BBA"/>
    <w:multiLevelType w:val="hybridMultilevel"/>
    <w:tmpl w:val="23003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6275A"/>
    <w:multiLevelType w:val="hybridMultilevel"/>
    <w:tmpl w:val="B8BC8732"/>
    <w:lvl w:ilvl="0" w:tplc="18806770">
      <w:start w:val="1376"/>
      <w:numFmt w:val="bullet"/>
      <w:lvlText w:val="–"/>
      <w:lvlJc w:val="left"/>
      <w:pPr>
        <w:ind w:left="1440" w:hanging="360"/>
      </w:pPr>
      <w:rPr>
        <w:rFonts w:ascii="Arial"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F40773"/>
    <w:multiLevelType w:val="hybridMultilevel"/>
    <w:tmpl w:val="BB70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66DE9"/>
    <w:multiLevelType w:val="hybridMultilevel"/>
    <w:tmpl w:val="02886F5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C70093"/>
    <w:multiLevelType w:val="hybridMultilevel"/>
    <w:tmpl w:val="75CA5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AE498B"/>
    <w:multiLevelType w:val="hybridMultilevel"/>
    <w:tmpl w:val="5A32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E5454"/>
    <w:multiLevelType w:val="hybridMultilevel"/>
    <w:tmpl w:val="A8345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5170CE"/>
    <w:multiLevelType w:val="hybridMultilevel"/>
    <w:tmpl w:val="06A8B994"/>
    <w:lvl w:ilvl="0" w:tplc="F9249DAA">
      <w:start w:val="1"/>
      <w:numFmt w:val="lowerLetter"/>
      <w:lvlText w:val="%1)"/>
      <w:lvlJc w:val="left"/>
      <w:pPr>
        <w:tabs>
          <w:tab w:val="num" w:pos="720"/>
        </w:tabs>
        <w:ind w:left="720" w:hanging="360"/>
      </w:pPr>
    </w:lvl>
    <w:lvl w:ilvl="1" w:tplc="0BB0A646" w:tentative="1">
      <w:start w:val="1"/>
      <w:numFmt w:val="lowerLetter"/>
      <w:lvlText w:val="%2)"/>
      <w:lvlJc w:val="left"/>
      <w:pPr>
        <w:tabs>
          <w:tab w:val="num" w:pos="1440"/>
        </w:tabs>
        <w:ind w:left="1440" w:hanging="360"/>
      </w:pPr>
    </w:lvl>
    <w:lvl w:ilvl="2" w:tplc="4C280B34" w:tentative="1">
      <w:start w:val="1"/>
      <w:numFmt w:val="lowerLetter"/>
      <w:lvlText w:val="%3)"/>
      <w:lvlJc w:val="left"/>
      <w:pPr>
        <w:tabs>
          <w:tab w:val="num" w:pos="2160"/>
        </w:tabs>
        <w:ind w:left="2160" w:hanging="360"/>
      </w:pPr>
    </w:lvl>
    <w:lvl w:ilvl="3" w:tplc="06BE1A6E" w:tentative="1">
      <w:start w:val="1"/>
      <w:numFmt w:val="lowerLetter"/>
      <w:lvlText w:val="%4)"/>
      <w:lvlJc w:val="left"/>
      <w:pPr>
        <w:tabs>
          <w:tab w:val="num" w:pos="2880"/>
        </w:tabs>
        <w:ind w:left="2880" w:hanging="360"/>
      </w:pPr>
    </w:lvl>
    <w:lvl w:ilvl="4" w:tplc="353C857C" w:tentative="1">
      <w:start w:val="1"/>
      <w:numFmt w:val="lowerLetter"/>
      <w:lvlText w:val="%5)"/>
      <w:lvlJc w:val="left"/>
      <w:pPr>
        <w:tabs>
          <w:tab w:val="num" w:pos="3600"/>
        </w:tabs>
        <w:ind w:left="3600" w:hanging="360"/>
      </w:pPr>
    </w:lvl>
    <w:lvl w:ilvl="5" w:tplc="8F5EA76A" w:tentative="1">
      <w:start w:val="1"/>
      <w:numFmt w:val="lowerLetter"/>
      <w:lvlText w:val="%6)"/>
      <w:lvlJc w:val="left"/>
      <w:pPr>
        <w:tabs>
          <w:tab w:val="num" w:pos="4320"/>
        </w:tabs>
        <w:ind w:left="4320" w:hanging="360"/>
      </w:pPr>
    </w:lvl>
    <w:lvl w:ilvl="6" w:tplc="13725896" w:tentative="1">
      <w:start w:val="1"/>
      <w:numFmt w:val="lowerLetter"/>
      <w:lvlText w:val="%7)"/>
      <w:lvlJc w:val="left"/>
      <w:pPr>
        <w:tabs>
          <w:tab w:val="num" w:pos="5040"/>
        </w:tabs>
        <w:ind w:left="5040" w:hanging="360"/>
      </w:pPr>
    </w:lvl>
    <w:lvl w:ilvl="7" w:tplc="0D1C5716" w:tentative="1">
      <w:start w:val="1"/>
      <w:numFmt w:val="lowerLetter"/>
      <w:lvlText w:val="%8)"/>
      <w:lvlJc w:val="left"/>
      <w:pPr>
        <w:tabs>
          <w:tab w:val="num" w:pos="5760"/>
        </w:tabs>
        <w:ind w:left="5760" w:hanging="360"/>
      </w:pPr>
    </w:lvl>
    <w:lvl w:ilvl="8" w:tplc="698A5E92" w:tentative="1">
      <w:start w:val="1"/>
      <w:numFmt w:val="lowerLetter"/>
      <w:lvlText w:val="%9)"/>
      <w:lvlJc w:val="left"/>
      <w:pPr>
        <w:tabs>
          <w:tab w:val="num" w:pos="6480"/>
        </w:tabs>
        <w:ind w:left="6480" w:hanging="360"/>
      </w:pPr>
    </w:lvl>
  </w:abstractNum>
  <w:abstractNum w:abstractNumId="9">
    <w:nsid w:val="706E09B7"/>
    <w:multiLevelType w:val="hybridMultilevel"/>
    <w:tmpl w:val="C3A069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8BD2DEF"/>
    <w:multiLevelType w:val="hybridMultilevel"/>
    <w:tmpl w:val="835610A8"/>
    <w:lvl w:ilvl="0" w:tplc="6896C2A0">
      <w:start w:val="1"/>
      <w:numFmt w:val="bullet"/>
      <w:lvlText w:val="•"/>
      <w:lvlJc w:val="left"/>
      <w:pPr>
        <w:tabs>
          <w:tab w:val="num" w:pos="720"/>
        </w:tabs>
        <w:ind w:left="720" w:hanging="360"/>
      </w:pPr>
      <w:rPr>
        <w:rFonts w:ascii="Arial" w:hAnsi="Arial" w:hint="default"/>
      </w:rPr>
    </w:lvl>
    <w:lvl w:ilvl="1" w:tplc="18806770">
      <w:start w:val="1376"/>
      <w:numFmt w:val="bullet"/>
      <w:lvlText w:val="–"/>
      <w:lvlJc w:val="left"/>
      <w:pPr>
        <w:tabs>
          <w:tab w:val="num" w:pos="1440"/>
        </w:tabs>
        <w:ind w:left="1440" w:hanging="360"/>
      </w:pPr>
      <w:rPr>
        <w:rFonts w:ascii="Arial" w:hAnsi="Arial" w:hint="default"/>
      </w:rPr>
    </w:lvl>
    <w:lvl w:ilvl="2" w:tplc="B6EAE70A" w:tentative="1">
      <w:start w:val="1"/>
      <w:numFmt w:val="bullet"/>
      <w:lvlText w:val="•"/>
      <w:lvlJc w:val="left"/>
      <w:pPr>
        <w:tabs>
          <w:tab w:val="num" w:pos="2160"/>
        </w:tabs>
        <w:ind w:left="2160" w:hanging="360"/>
      </w:pPr>
      <w:rPr>
        <w:rFonts w:ascii="Arial" w:hAnsi="Arial" w:hint="default"/>
      </w:rPr>
    </w:lvl>
    <w:lvl w:ilvl="3" w:tplc="E6DC4C6A" w:tentative="1">
      <w:start w:val="1"/>
      <w:numFmt w:val="bullet"/>
      <w:lvlText w:val="•"/>
      <w:lvlJc w:val="left"/>
      <w:pPr>
        <w:tabs>
          <w:tab w:val="num" w:pos="2880"/>
        </w:tabs>
        <w:ind w:left="2880" w:hanging="360"/>
      </w:pPr>
      <w:rPr>
        <w:rFonts w:ascii="Arial" w:hAnsi="Arial" w:hint="default"/>
      </w:rPr>
    </w:lvl>
    <w:lvl w:ilvl="4" w:tplc="F45AE378" w:tentative="1">
      <w:start w:val="1"/>
      <w:numFmt w:val="bullet"/>
      <w:lvlText w:val="•"/>
      <w:lvlJc w:val="left"/>
      <w:pPr>
        <w:tabs>
          <w:tab w:val="num" w:pos="3600"/>
        </w:tabs>
        <w:ind w:left="3600" w:hanging="360"/>
      </w:pPr>
      <w:rPr>
        <w:rFonts w:ascii="Arial" w:hAnsi="Arial" w:hint="default"/>
      </w:rPr>
    </w:lvl>
    <w:lvl w:ilvl="5" w:tplc="F970CC0A" w:tentative="1">
      <w:start w:val="1"/>
      <w:numFmt w:val="bullet"/>
      <w:lvlText w:val="•"/>
      <w:lvlJc w:val="left"/>
      <w:pPr>
        <w:tabs>
          <w:tab w:val="num" w:pos="4320"/>
        </w:tabs>
        <w:ind w:left="4320" w:hanging="360"/>
      </w:pPr>
      <w:rPr>
        <w:rFonts w:ascii="Arial" w:hAnsi="Arial" w:hint="default"/>
      </w:rPr>
    </w:lvl>
    <w:lvl w:ilvl="6" w:tplc="1BDC519A" w:tentative="1">
      <w:start w:val="1"/>
      <w:numFmt w:val="bullet"/>
      <w:lvlText w:val="•"/>
      <w:lvlJc w:val="left"/>
      <w:pPr>
        <w:tabs>
          <w:tab w:val="num" w:pos="5040"/>
        </w:tabs>
        <w:ind w:left="5040" w:hanging="360"/>
      </w:pPr>
      <w:rPr>
        <w:rFonts w:ascii="Arial" w:hAnsi="Arial" w:hint="default"/>
      </w:rPr>
    </w:lvl>
    <w:lvl w:ilvl="7" w:tplc="01348014" w:tentative="1">
      <w:start w:val="1"/>
      <w:numFmt w:val="bullet"/>
      <w:lvlText w:val="•"/>
      <w:lvlJc w:val="left"/>
      <w:pPr>
        <w:tabs>
          <w:tab w:val="num" w:pos="5760"/>
        </w:tabs>
        <w:ind w:left="5760" w:hanging="360"/>
      </w:pPr>
      <w:rPr>
        <w:rFonts w:ascii="Arial" w:hAnsi="Arial" w:hint="default"/>
      </w:rPr>
    </w:lvl>
    <w:lvl w:ilvl="8" w:tplc="FE20AE06" w:tentative="1">
      <w:start w:val="1"/>
      <w:numFmt w:val="bullet"/>
      <w:lvlText w:val="•"/>
      <w:lvlJc w:val="left"/>
      <w:pPr>
        <w:tabs>
          <w:tab w:val="num" w:pos="6480"/>
        </w:tabs>
        <w:ind w:left="6480" w:hanging="360"/>
      </w:pPr>
      <w:rPr>
        <w:rFonts w:ascii="Arial" w:hAnsi="Arial" w:hint="default"/>
      </w:rPr>
    </w:lvl>
  </w:abstractNum>
  <w:abstractNum w:abstractNumId="11">
    <w:nsid w:val="7BBF2A62"/>
    <w:multiLevelType w:val="hybridMultilevel"/>
    <w:tmpl w:val="4B1E17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5"/>
  </w:num>
  <w:num w:numId="4">
    <w:abstractNumId w:val="0"/>
  </w:num>
  <w:num w:numId="5">
    <w:abstractNumId w:val="3"/>
  </w:num>
  <w:num w:numId="6">
    <w:abstractNumId w:val="6"/>
  </w:num>
  <w:num w:numId="7">
    <w:abstractNumId w:val="10"/>
  </w:num>
  <w:num w:numId="8">
    <w:abstractNumId w:val="7"/>
  </w:num>
  <w:num w:numId="9">
    <w:abstractNumId w:val="11"/>
  </w:num>
  <w:num w:numId="10">
    <w:abstractNumId w:val="2"/>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6800"/>
    <w:rsid w:val="00023330"/>
    <w:rsid w:val="00064798"/>
    <w:rsid w:val="00074E5E"/>
    <w:rsid w:val="000767F9"/>
    <w:rsid w:val="0009575F"/>
    <w:rsid w:val="000963E2"/>
    <w:rsid w:val="000A568B"/>
    <w:rsid w:val="000C0A06"/>
    <w:rsid w:val="000C321C"/>
    <w:rsid w:val="000E7DAA"/>
    <w:rsid w:val="000F6CFA"/>
    <w:rsid w:val="000F7945"/>
    <w:rsid w:val="00105839"/>
    <w:rsid w:val="00124278"/>
    <w:rsid w:val="001511EE"/>
    <w:rsid w:val="00164ACF"/>
    <w:rsid w:val="00167382"/>
    <w:rsid w:val="001C36DE"/>
    <w:rsid w:val="001C7487"/>
    <w:rsid w:val="001E6E4C"/>
    <w:rsid w:val="00205C13"/>
    <w:rsid w:val="00222CE7"/>
    <w:rsid w:val="0023272E"/>
    <w:rsid w:val="00251783"/>
    <w:rsid w:val="0026021D"/>
    <w:rsid w:val="002634AB"/>
    <w:rsid w:val="00264C71"/>
    <w:rsid w:val="00272A54"/>
    <w:rsid w:val="002819D5"/>
    <w:rsid w:val="00287E5C"/>
    <w:rsid w:val="0029362E"/>
    <w:rsid w:val="002A3D67"/>
    <w:rsid w:val="002B4C36"/>
    <w:rsid w:val="002B5D8B"/>
    <w:rsid w:val="002D4212"/>
    <w:rsid w:val="0031033C"/>
    <w:rsid w:val="003171C0"/>
    <w:rsid w:val="00332608"/>
    <w:rsid w:val="003334C9"/>
    <w:rsid w:val="00342473"/>
    <w:rsid w:val="00362091"/>
    <w:rsid w:val="003623FF"/>
    <w:rsid w:val="00363FE6"/>
    <w:rsid w:val="003711C2"/>
    <w:rsid w:val="00376367"/>
    <w:rsid w:val="00377C96"/>
    <w:rsid w:val="00381EEC"/>
    <w:rsid w:val="003826CB"/>
    <w:rsid w:val="00391587"/>
    <w:rsid w:val="003A1126"/>
    <w:rsid w:val="003B4270"/>
    <w:rsid w:val="003D1515"/>
    <w:rsid w:val="003D437B"/>
    <w:rsid w:val="003E6A89"/>
    <w:rsid w:val="003F0CF7"/>
    <w:rsid w:val="003F1412"/>
    <w:rsid w:val="00400C3F"/>
    <w:rsid w:val="00424D44"/>
    <w:rsid w:val="004251C2"/>
    <w:rsid w:val="004458A8"/>
    <w:rsid w:val="00452F16"/>
    <w:rsid w:val="00462166"/>
    <w:rsid w:val="00491AE7"/>
    <w:rsid w:val="004A1466"/>
    <w:rsid w:val="004B2FE8"/>
    <w:rsid w:val="004C36CE"/>
    <w:rsid w:val="004C4695"/>
    <w:rsid w:val="004C6286"/>
    <w:rsid w:val="004D616E"/>
    <w:rsid w:val="004F251F"/>
    <w:rsid w:val="004F6BF0"/>
    <w:rsid w:val="005017FC"/>
    <w:rsid w:val="005048E0"/>
    <w:rsid w:val="00555CD4"/>
    <w:rsid w:val="005710DC"/>
    <w:rsid w:val="00593AEC"/>
    <w:rsid w:val="005A49C9"/>
    <w:rsid w:val="005A6AF5"/>
    <w:rsid w:val="005C7F88"/>
    <w:rsid w:val="005D60FF"/>
    <w:rsid w:val="005E1519"/>
    <w:rsid w:val="00605B46"/>
    <w:rsid w:val="00636A9F"/>
    <w:rsid w:val="00645581"/>
    <w:rsid w:val="006510C2"/>
    <w:rsid w:val="00664785"/>
    <w:rsid w:val="00674CE9"/>
    <w:rsid w:val="006B58C3"/>
    <w:rsid w:val="006D2818"/>
    <w:rsid w:val="006E7255"/>
    <w:rsid w:val="006F28C5"/>
    <w:rsid w:val="00702DF8"/>
    <w:rsid w:val="0070743E"/>
    <w:rsid w:val="007075D3"/>
    <w:rsid w:val="00777EAB"/>
    <w:rsid w:val="00785A62"/>
    <w:rsid w:val="0079309C"/>
    <w:rsid w:val="007A6CC9"/>
    <w:rsid w:val="007E01E8"/>
    <w:rsid w:val="007F55E9"/>
    <w:rsid w:val="00804AF2"/>
    <w:rsid w:val="00833749"/>
    <w:rsid w:val="00843B1C"/>
    <w:rsid w:val="0085292E"/>
    <w:rsid w:val="00872D33"/>
    <w:rsid w:val="008748AD"/>
    <w:rsid w:val="00874916"/>
    <w:rsid w:val="00876AD2"/>
    <w:rsid w:val="00893480"/>
    <w:rsid w:val="008A08D0"/>
    <w:rsid w:val="008A3126"/>
    <w:rsid w:val="008B1292"/>
    <w:rsid w:val="008B5CFE"/>
    <w:rsid w:val="008D047C"/>
    <w:rsid w:val="0090609C"/>
    <w:rsid w:val="00911A31"/>
    <w:rsid w:val="0092272B"/>
    <w:rsid w:val="00940ABF"/>
    <w:rsid w:val="0094283E"/>
    <w:rsid w:val="009467AB"/>
    <w:rsid w:val="00971FF2"/>
    <w:rsid w:val="009F58CD"/>
    <w:rsid w:val="009F5C8C"/>
    <w:rsid w:val="00A0073B"/>
    <w:rsid w:val="00A13FB0"/>
    <w:rsid w:val="00A14FA6"/>
    <w:rsid w:val="00A304E0"/>
    <w:rsid w:val="00A92E7D"/>
    <w:rsid w:val="00AA256F"/>
    <w:rsid w:val="00AB357D"/>
    <w:rsid w:val="00AF47AC"/>
    <w:rsid w:val="00B04CC8"/>
    <w:rsid w:val="00B37BDC"/>
    <w:rsid w:val="00B40519"/>
    <w:rsid w:val="00B411FD"/>
    <w:rsid w:val="00B50E10"/>
    <w:rsid w:val="00B62A4F"/>
    <w:rsid w:val="00B83498"/>
    <w:rsid w:val="00BA04E6"/>
    <w:rsid w:val="00BA7A30"/>
    <w:rsid w:val="00BC1F01"/>
    <w:rsid w:val="00BE59EE"/>
    <w:rsid w:val="00BE79B0"/>
    <w:rsid w:val="00BF0CC5"/>
    <w:rsid w:val="00BF73B1"/>
    <w:rsid w:val="00C03964"/>
    <w:rsid w:val="00C11BE8"/>
    <w:rsid w:val="00C23D7C"/>
    <w:rsid w:val="00C3165E"/>
    <w:rsid w:val="00C50221"/>
    <w:rsid w:val="00C543B9"/>
    <w:rsid w:val="00C853BC"/>
    <w:rsid w:val="00CB7CC9"/>
    <w:rsid w:val="00CE10EE"/>
    <w:rsid w:val="00D12F2B"/>
    <w:rsid w:val="00D26A97"/>
    <w:rsid w:val="00D331D9"/>
    <w:rsid w:val="00D63624"/>
    <w:rsid w:val="00D84732"/>
    <w:rsid w:val="00D93C4B"/>
    <w:rsid w:val="00D95F89"/>
    <w:rsid w:val="00D97ADF"/>
    <w:rsid w:val="00DB6525"/>
    <w:rsid w:val="00DC3ACF"/>
    <w:rsid w:val="00DC6AC8"/>
    <w:rsid w:val="00DD25EE"/>
    <w:rsid w:val="00DE58DA"/>
    <w:rsid w:val="00DF22E8"/>
    <w:rsid w:val="00DF5EEC"/>
    <w:rsid w:val="00E17631"/>
    <w:rsid w:val="00E2498A"/>
    <w:rsid w:val="00E31BC5"/>
    <w:rsid w:val="00E33B43"/>
    <w:rsid w:val="00E40567"/>
    <w:rsid w:val="00E54FBF"/>
    <w:rsid w:val="00E80F2D"/>
    <w:rsid w:val="00EA3794"/>
    <w:rsid w:val="00EA4613"/>
    <w:rsid w:val="00EC6722"/>
    <w:rsid w:val="00ED3060"/>
    <w:rsid w:val="00ED5AFB"/>
    <w:rsid w:val="00EE671A"/>
    <w:rsid w:val="00EE7E40"/>
    <w:rsid w:val="00F02371"/>
    <w:rsid w:val="00F05E8C"/>
    <w:rsid w:val="00F308EA"/>
    <w:rsid w:val="00F31BA3"/>
    <w:rsid w:val="00F344E9"/>
    <w:rsid w:val="00F37CEE"/>
    <w:rsid w:val="00F41AE1"/>
    <w:rsid w:val="00F46800"/>
    <w:rsid w:val="00F75DD9"/>
    <w:rsid w:val="00FA297E"/>
    <w:rsid w:val="00FB0382"/>
    <w:rsid w:val="00FC5E20"/>
    <w:rsid w:val="00FD102C"/>
    <w:rsid w:val="00FD5334"/>
    <w:rsid w:val="00FF77B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9" type="connector" idref="#_x0000_s1042"/>
        <o:r id="V:Rule20" type="connector" idref="#_x0000_s1034"/>
        <o:r id="V:Rule21" type="connector" idref="#_x0000_s1026"/>
        <o:r id="V:Rule22" type="connector" idref="#_x0000_s1058"/>
        <o:r id="V:Rule23" type="connector" idref="#_x0000_s1036"/>
        <o:r id="V:Rule24" type="connector" idref="#_x0000_s1077"/>
        <o:r id="V:Rule25" type="connector" idref="#_x0000_s1032"/>
        <o:r id="V:Rule26" type="connector" idref="#_x0000_s1054"/>
        <o:r id="V:Rule27" type="connector" idref="#_x0000_s1052"/>
        <o:r id="V:Rule28" type="connector" idref="#_x0000_s1064"/>
        <o:r id="V:Rule29" type="connector" idref="#_x0000_s1046"/>
        <o:r id="V:Rule30" type="connector" idref="#_x0000_s1038"/>
        <o:r id="V:Rule31" type="connector" idref="#_x0000_s1056"/>
        <o:r id="V:Rule32" type="connector" idref="#_x0000_s1047"/>
        <o:r id="V:Rule33" type="connector" idref="#_x0000_s1029"/>
        <o:r id="V:Rule34" type="connector" idref="#_x0000_s1044"/>
        <o:r id="V:Rule35" type="connector" idref="#_x0000_s1051"/>
        <o:r id="V:Rule3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67"/>
    <w:pPr>
      <w:spacing w:after="200" w:line="276" w:lineRule="auto"/>
    </w:pPr>
    <w:rPr>
      <w:sz w:val="22"/>
      <w:szCs w:val="22"/>
      <w:lang w:val="en-AU" w:eastAsia="en-US" w:bidi="ar-SA"/>
    </w:rPr>
  </w:style>
  <w:style w:type="paragraph" w:styleId="Heading1">
    <w:name w:val="heading 1"/>
    <w:basedOn w:val="Normal"/>
    <w:next w:val="Normal"/>
    <w:link w:val="Heading1Char"/>
    <w:uiPriority w:val="9"/>
    <w:qFormat/>
    <w:rsid w:val="00EE7E40"/>
    <w:pPr>
      <w:keepNext/>
      <w:shd w:val="clear" w:color="auto" w:fill="7F7F7F"/>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E7E4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E7E40"/>
    <w:p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EE7E40"/>
    <w:pPr>
      <w:spacing w:before="240" w:after="60"/>
      <w:outlineLvl w:val="3"/>
    </w:pPr>
    <w:rPr>
      <w:rFonts w:eastAsia="Times New Roman"/>
      <w:b/>
      <w:bCs/>
      <w:sz w:val="24"/>
      <w:szCs w:val="28"/>
    </w:rPr>
  </w:style>
  <w:style w:type="paragraph" w:styleId="Heading5">
    <w:name w:val="heading 5"/>
    <w:basedOn w:val="Normal"/>
    <w:next w:val="Normal"/>
    <w:link w:val="Heading5Char"/>
    <w:uiPriority w:val="9"/>
    <w:semiHidden/>
    <w:unhideWhenUsed/>
    <w:qFormat/>
    <w:rsid w:val="002A3D67"/>
    <w:pPr>
      <w:spacing w:before="240" w:after="60"/>
      <w:ind w:left="21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6800"/>
    <w:pPr>
      <w:tabs>
        <w:tab w:val="center" w:pos="4513"/>
        <w:tab w:val="right" w:pos="9026"/>
      </w:tabs>
    </w:pPr>
  </w:style>
  <w:style w:type="character" w:customStyle="1" w:styleId="FooterChar">
    <w:name w:val="Footer Char"/>
    <w:basedOn w:val="DefaultParagraphFont"/>
    <w:link w:val="Footer"/>
    <w:uiPriority w:val="99"/>
    <w:semiHidden/>
    <w:rsid w:val="00F46800"/>
    <w:rPr>
      <w:rFonts w:ascii="Calibri" w:eastAsia="Calibri" w:hAnsi="Calibri" w:cs="Times New Roman"/>
    </w:rPr>
  </w:style>
  <w:style w:type="character" w:customStyle="1" w:styleId="Heading1Char">
    <w:name w:val="Heading 1 Char"/>
    <w:basedOn w:val="DefaultParagraphFont"/>
    <w:link w:val="Heading1"/>
    <w:uiPriority w:val="9"/>
    <w:rsid w:val="00EE7E40"/>
    <w:rPr>
      <w:rFonts w:ascii="Cambria" w:eastAsia="Times New Roman" w:hAnsi="Cambria"/>
      <w:b/>
      <w:bCs/>
      <w:kern w:val="32"/>
      <w:sz w:val="32"/>
      <w:szCs w:val="32"/>
      <w:shd w:val="clear" w:color="auto" w:fill="7F7F7F"/>
      <w:lang w:eastAsia="en-US"/>
    </w:rPr>
  </w:style>
  <w:style w:type="character" w:customStyle="1" w:styleId="Heading2Char">
    <w:name w:val="Heading 2 Char"/>
    <w:basedOn w:val="DefaultParagraphFont"/>
    <w:link w:val="Heading2"/>
    <w:uiPriority w:val="9"/>
    <w:rsid w:val="00EE7E40"/>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EE7E40"/>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rsid w:val="00EE7E40"/>
    <w:rPr>
      <w:rFonts w:eastAsia="Times New Roman"/>
      <w:b/>
      <w:bCs/>
      <w:sz w:val="24"/>
      <w:szCs w:val="28"/>
      <w:lang w:eastAsia="en-US"/>
    </w:rPr>
  </w:style>
  <w:style w:type="character" w:customStyle="1" w:styleId="Heading5Char">
    <w:name w:val="Heading 5 Char"/>
    <w:basedOn w:val="DefaultParagraphFont"/>
    <w:link w:val="Heading5"/>
    <w:uiPriority w:val="9"/>
    <w:semiHidden/>
    <w:rsid w:val="002A3D67"/>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A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67"/>
    <w:rPr>
      <w:rFonts w:ascii="Tahoma" w:hAnsi="Tahoma" w:cs="Tahoma"/>
      <w:sz w:val="16"/>
      <w:szCs w:val="16"/>
      <w:lang w:eastAsia="en-US"/>
    </w:rPr>
  </w:style>
  <w:style w:type="paragraph" w:styleId="NormalWeb">
    <w:name w:val="Normal (Web)"/>
    <w:basedOn w:val="Normal"/>
    <w:uiPriority w:val="99"/>
    <w:semiHidden/>
    <w:unhideWhenUsed/>
    <w:rsid w:val="00222CE7"/>
    <w:pPr>
      <w:spacing w:before="100" w:beforeAutospacing="1" w:after="100" w:afterAutospacing="1" w:line="240" w:lineRule="auto"/>
    </w:pPr>
    <w:rPr>
      <w:rFonts w:ascii="Times New Roman" w:eastAsia="Times New Roman" w:hAnsi="Times New Roman"/>
      <w:sz w:val="24"/>
      <w:szCs w:val="24"/>
      <w:lang w:val="en-US" w:eastAsia="zh-CN" w:bidi="th-TH"/>
    </w:rPr>
  </w:style>
  <w:style w:type="character" w:styleId="Hyperlink">
    <w:name w:val="Hyperlink"/>
    <w:basedOn w:val="DefaultParagraphFont"/>
    <w:uiPriority w:val="99"/>
    <w:unhideWhenUsed/>
    <w:rsid w:val="0029362E"/>
    <w:rPr>
      <w:color w:val="0000FF"/>
      <w:u w:val="single"/>
    </w:rPr>
  </w:style>
  <w:style w:type="paragraph" w:styleId="Header">
    <w:name w:val="header"/>
    <w:basedOn w:val="Normal"/>
    <w:link w:val="HeaderChar"/>
    <w:uiPriority w:val="99"/>
    <w:unhideWhenUsed/>
    <w:rsid w:val="00362091"/>
    <w:pPr>
      <w:tabs>
        <w:tab w:val="center" w:pos="4680"/>
        <w:tab w:val="right" w:pos="9360"/>
      </w:tabs>
    </w:pPr>
  </w:style>
  <w:style w:type="character" w:customStyle="1" w:styleId="HeaderChar">
    <w:name w:val="Header Char"/>
    <w:basedOn w:val="DefaultParagraphFont"/>
    <w:link w:val="Header"/>
    <w:uiPriority w:val="99"/>
    <w:rsid w:val="00362091"/>
    <w:rPr>
      <w:sz w:val="22"/>
      <w:szCs w:val="22"/>
      <w:lang w:val="en-AU" w:eastAsia="en-US" w:bidi="ar-SA"/>
    </w:rPr>
  </w:style>
</w:styles>
</file>

<file path=word/webSettings.xml><?xml version="1.0" encoding="utf-8"?>
<w:webSettings xmlns:r="http://schemas.openxmlformats.org/officeDocument/2006/relationships" xmlns:w="http://schemas.openxmlformats.org/wordprocessingml/2006/main">
  <w:divs>
    <w:div w:id="2364484">
      <w:bodyDiv w:val="1"/>
      <w:marLeft w:val="0"/>
      <w:marRight w:val="0"/>
      <w:marTop w:val="0"/>
      <w:marBottom w:val="0"/>
      <w:divBdr>
        <w:top w:val="none" w:sz="0" w:space="0" w:color="auto"/>
        <w:left w:val="none" w:sz="0" w:space="0" w:color="auto"/>
        <w:bottom w:val="none" w:sz="0" w:space="0" w:color="auto"/>
        <w:right w:val="none" w:sz="0" w:space="0" w:color="auto"/>
      </w:divBdr>
    </w:div>
    <w:div w:id="27730979">
      <w:bodyDiv w:val="1"/>
      <w:marLeft w:val="0"/>
      <w:marRight w:val="0"/>
      <w:marTop w:val="0"/>
      <w:marBottom w:val="0"/>
      <w:divBdr>
        <w:top w:val="none" w:sz="0" w:space="0" w:color="auto"/>
        <w:left w:val="none" w:sz="0" w:space="0" w:color="auto"/>
        <w:bottom w:val="none" w:sz="0" w:space="0" w:color="auto"/>
        <w:right w:val="none" w:sz="0" w:space="0" w:color="auto"/>
      </w:divBdr>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12481216">
      <w:bodyDiv w:val="1"/>
      <w:marLeft w:val="0"/>
      <w:marRight w:val="0"/>
      <w:marTop w:val="0"/>
      <w:marBottom w:val="0"/>
      <w:divBdr>
        <w:top w:val="none" w:sz="0" w:space="0" w:color="auto"/>
        <w:left w:val="none" w:sz="0" w:space="0" w:color="auto"/>
        <w:bottom w:val="none" w:sz="0" w:space="0" w:color="auto"/>
        <w:right w:val="none" w:sz="0" w:space="0" w:color="auto"/>
      </w:divBdr>
    </w:div>
    <w:div w:id="406071898">
      <w:bodyDiv w:val="1"/>
      <w:marLeft w:val="0"/>
      <w:marRight w:val="0"/>
      <w:marTop w:val="0"/>
      <w:marBottom w:val="0"/>
      <w:divBdr>
        <w:top w:val="none" w:sz="0" w:space="0" w:color="auto"/>
        <w:left w:val="none" w:sz="0" w:space="0" w:color="auto"/>
        <w:bottom w:val="none" w:sz="0" w:space="0" w:color="auto"/>
        <w:right w:val="none" w:sz="0" w:space="0" w:color="auto"/>
      </w:divBdr>
    </w:div>
    <w:div w:id="614021058">
      <w:bodyDiv w:val="1"/>
      <w:marLeft w:val="0"/>
      <w:marRight w:val="0"/>
      <w:marTop w:val="0"/>
      <w:marBottom w:val="0"/>
      <w:divBdr>
        <w:top w:val="none" w:sz="0" w:space="0" w:color="auto"/>
        <w:left w:val="none" w:sz="0" w:space="0" w:color="auto"/>
        <w:bottom w:val="none" w:sz="0" w:space="0" w:color="auto"/>
        <w:right w:val="none" w:sz="0" w:space="0" w:color="auto"/>
      </w:divBdr>
    </w:div>
    <w:div w:id="978457880">
      <w:bodyDiv w:val="1"/>
      <w:marLeft w:val="0"/>
      <w:marRight w:val="0"/>
      <w:marTop w:val="0"/>
      <w:marBottom w:val="0"/>
      <w:divBdr>
        <w:top w:val="none" w:sz="0" w:space="0" w:color="auto"/>
        <w:left w:val="none" w:sz="0" w:space="0" w:color="auto"/>
        <w:bottom w:val="none" w:sz="0" w:space="0" w:color="auto"/>
        <w:right w:val="none" w:sz="0" w:space="0" w:color="auto"/>
      </w:divBdr>
    </w:div>
    <w:div w:id="1029339170">
      <w:bodyDiv w:val="1"/>
      <w:marLeft w:val="0"/>
      <w:marRight w:val="0"/>
      <w:marTop w:val="0"/>
      <w:marBottom w:val="0"/>
      <w:divBdr>
        <w:top w:val="none" w:sz="0" w:space="0" w:color="auto"/>
        <w:left w:val="none" w:sz="0" w:space="0" w:color="auto"/>
        <w:bottom w:val="none" w:sz="0" w:space="0" w:color="auto"/>
        <w:right w:val="none" w:sz="0" w:space="0" w:color="auto"/>
      </w:divBdr>
    </w:div>
    <w:div w:id="1179151038">
      <w:bodyDiv w:val="1"/>
      <w:marLeft w:val="0"/>
      <w:marRight w:val="0"/>
      <w:marTop w:val="0"/>
      <w:marBottom w:val="0"/>
      <w:divBdr>
        <w:top w:val="none" w:sz="0" w:space="0" w:color="auto"/>
        <w:left w:val="none" w:sz="0" w:space="0" w:color="auto"/>
        <w:bottom w:val="none" w:sz="0" w:space="0" w:color="auto"/>
        <w:right w:val="none" w:sz="0" w:space="0" w:color="auto"/>
      </w:divBdr>
    </w:div>
    <w:div w:id="1181240606">
      <w:bodyDiv w:val="1"/>
      <w:marLeft w:val="0"/>
      <w:marRight w:val="0"/>
      <w:marTop w:val="0"/>
      <w:marBottom w:val="0"/>
      <w:divBdr>
        <w:top w:val="none" w:sz="0" w:space="0" w:color="auto"/>
        <w:left w:val="none" w:sz="0" w:space="0" w:color="auto"/>
        <w:bottom w:val="none" w:sz="0" w:space="0" w:color="auto"/>
        <w:right w:val="none" w:sz="0" w:space="0" w:color="auto"/>
      </w:divBdr>
      <w:divsChild>
        <w:div w:id="1046369374">
          <w:marLeft w:val="360"/>
          <w:marRight w:val="0"/>
          <w:marTop w:val="86"/>
          <w:marBottom w:val="0"/>
          <w:divBdr>
            <w:top w:val="none" w:sz="0" w:space="0" w:color="auto"/>
            <w:left w:val="none" w:sz="0" w:space="0" w:color="auto"/>
            <w:bottom w:val="none" w:sz="0" w:space="0" w:color="auto"/>
            <w:right w:val="none" w:sz="0" w:space="0" w:color="auto"/>
          </w:divBdr>
        </w:div>
      </w:divsChild>
    </w:div>
    <w:div w:id="1199243758">
      <w:bodyDiv w:val="1"/>
      <w:marLeft w:val="0"/>
      <w:marRight w:val="0"/>
      <w:marTop w:val="0"/>
      <w:marBottom w:val="0"/>
      <w:divBdr>
        <w:top w:val="none" w:sz="0" w:space="0" w:color="auto"/>
        <w:left w:val="none" w:sz="0" w:space="0" w:color="auto"/>
        <w:bottom w:val="none" w:sz="0" w:space="0" w:color="auto"/>
        <w:right w:val="none" w:sz="0" w:space="0" w:color="auto"/>
      </w:divBdr>
      <w:divsChild>
        <w:div w:id="147525612">
          <w:marLeft w:val="1166"/>
          <w:marRight w:val="0"/>
          <w:marTop w:val="115"/>
          <w:marBottom w:val="0"/>
          <w:divBdr>
            <w:top w:val="none" w:sz="0" w:space="0" w:color="auto"/>
            <w:left w:val="none" w:sz="0" w:space="0" w:color="auto"/>
            <w:bottom w:val="none" w:sz="0" w:space="0" w:color="auto"/>
            <w:right w:val="none" w:sz="0" w:space="0" w:color="auto"/>
          </w:divBdr>
        </w:div>
        <w:div w:id="1438016936">
          <w:marLeft w:val="547"/>
          <w:marRight w:val="0"/>
          <w:marTop w:val="154"/>
          <w:marBottom w:val="0"/>
          <w:divBdr>
            <w:top w:val="none" w:sz="0" w:space="0" w:color="auto"/>
            <w:left w:val="none" w:sz="0" w:space="0" w:color="auto"/>
            <w:bottom w:val="none" w:sz="0" w:space="0" w:color="auto"/>
            <w:right w:val="none" w:sz="0" w:space="0" w:color="auto"/>
          </w:divBdr>
        </w:div>
        <w:div w:id="1534919430">
          <w:marLeft w:val="1166"/>
          <w:marRight w:val="0"/>
          <w:marTop w:val="115"/>
          <w:marBottom w:val="0"/>
          <w:divBdr>
            <w:top w:val="none" w:sz="0" w:space="0" w:color="auto"/>
            <w:left w:val="none" w:sz="0" w:space="0" w:color="auto"/>
            <w:bottom w:val="none" w:sz="0" w:space="0" w:color="auto"/>
            <w:right w:val="none" w:sz="0" w:space="0" w:color="auto"/>
          </w:divBdr>
        </w:div>
        <w:div w:id="1756365746">
          <w:marLeft w:val="547"/>
          <w:marRight w:val="0"/>
          <w:marTop w:val="154"/>
          <w:marBottom w:val="0"/>
          <w:divBdr>
            <w:top w:val="none" w:sz="0" w:space="0" w:color="auto"/>
            <w:left w:val="none" w:sz="0" w:space="0" w:color="auto"/>
            <w:bottom w:val="none" w:sz="0" w:space="0" w:color="auto"/>
            <w:right w:val="none" w:sz="0" w:space="0" w:color="auto"/>
          </w:divBdr>
        </w:div>
        <w:div w:id="2042318995">
          <w:marLeft w:val="547"/>
          <w:marRight w:val="0"/>
          <w:marTop w:val="154"/>
          <w:marBottom w:val="0"/>
          <w:divBdr>
            <w:top w:val="none" w:sz="0" w:space="0" w:color="auto"/>
            <w:left w:val="none" w:sz="0" w:space="0" w:color="auto"/>
            <w:bottom w:val="none" w:sz="0" w:space="0" w:color="auto"/>
            <w:right w:val="none" w:sz="0" w:space="0" w:color="auto"/>
          </w:divBdr>
        </w:div>
      </w:divsChild>
    </w:div>
    <w:div w:id="1229996314">
      <w:bodyDiv w:val="1"/>
      <w:marLeft w:val="0"/>
      <w:marRight w:val="0"/>
      <w:marTop w:val="0"/>
      <w:marBottom w:val="0"/>
      <w:divBdr>
        <w:top w:val="none" w:sz="0" w:space="0" w:color="auto"/>
        <w:left w:val="none" w:sz="0" w:space="0" w:color="auto"/>
        <w:bottom w:val="none" w:sz="0" w:space="0" w:color="auto"/>
        <w:right w:val="none" w:sz="0" w:space="0" w:color="auto"/>
      </w:divBdr>
    </w:div>
    <w:div w:id="1297637756">
      <w:bodyDiv w:val="1"/>
      <w:marLeft w:val="0"/>
      <w:marRight w:val="0"/>
      <w:marTop w:val="0"/>
      <w:marBottom w:val="0"/>
      <w:divBdr>
        <w:top w:val="none" w:sz="0" w:space="0" w:color="auto"/>
        <w:left w:val="none" w:sz="0" w:space="0" w:color="auto"/>
        <w:bottom w:val="none" w:sz="0" w:space="0" w:color="auto"/>
        <w:right w:val="none" w:sz="0" w:space="0" w:color="auto"/>
      </w:divBdr>
      <w:divsChild>
        <w:div w:id="1089892028">
          <w:marLeft w:val="0"/>
          <w:marRight w:val="0"/>
          <w:marTop w:val="0"/>
          <w:marBottom w:val="0"/>
          <w:divBdr>
            <w:top w:val="none" w:sz="0" w:space="0" w:color="auto"/>
            <w:left w:val="none" w:sz="0" w:space="0" w:color="auto"/>
            <w:bottom w:val="none" w:sz="0" w:space="0" w:color="auto"/>
            <w:right w:val="none" w:sz="0" w:space="0" w:color="auto"/>
          </w:divBdr>
          <w:divsChild>
            <w:div w:id="1238172153">
              <w:marLeft w:val="0"/>
              <w:marRight w:val="0"/>
              <w:marTop w:val="0"/>
              <w:marBottom w:val="0"/>
              <w:divBdr>
                <w:top w:val="none" w:sz="0" w:space="0" w:color="auto"/>
                <w:left w:val="none" w:sz="0" w:space="0" w:color="auto"/>
                <w:bottom w:val="none" w:sz="0" w:space="0" w:color="auto"/>
                <w:right w:val="none" w:sz="0" w:space="0" w:color="auto"/>
              </w:divBdr>
              <w:divsChild>
                <w:div w:id="900752133">
                  <w:marLeft w:val="0"/>
                  <w:marRight w:val="0"/>
                  <w:marTop w:val="0"/>
                  <w:marBottom w:val="0"/>
                  <w:divBdr>
                    <w:top w:val="none" w:sz="0" w:space="0" w:color="auto"/>
                    <w:left w:val="none" w:sz="0" w:space="0" w:color="auto"/>
                    <w:bottom w:val="none" w:sz="0" w:space="0" w:color="auto"/>
                    <w:right w:val="none" w:sz="0" w:space="0" w:color="auto"/>
                  </w:divBdr>
                  <w:divsChild>
                    <w:div w:id="1524244247">
                      <w:marLeft w:val="0"/>
                      <w:marRight w:val="0"/>
                      <w:marTop w:val="0"/>
                      <w:marBottom w:val="0"/>
                      <w:divBdr>
                        <w:top w:val="none" w:sz="0" w:space="0" w:color="auto"/>
                        <w:left w:val="none" w:sz="0" w:space="0" w:color="auto"/>
                        <w:bottom w:val="none" w:sz="0" w:space="0" w:color="auto"/>
                        <w:right w:val="none" w:sz="0" w:space="0" w:color="auto"/>
                      </w:divBdr>
                      <w:divsChild>
                        <w:div w:id="252862490">
                          <w:marLeft w:val="0"/>
                          <w:marRight w:val="0"/>
                          <w:marTop w:val="0"/>
                          <w:marBottom w:val="0"/>
                          <w:divBdr>
                            <w:top w:val="none" w:sz="0" w:space="0" w:color="auto"/>
                            <w:left w:val="none" w:sz="0" w:space="0" w:color="auto"/>
                            <w:bottom w:val="none" w:sz="0" w:space="0" w:color="auto"/>
                            <w:right w:val="none" w:sz="0" w:space="0" w:color="auto"/>
                          </w:divBdr>
                          <w:divsChild>
                            <w:div w:id="694037360">
                              <w:marLeft w:val="0"/>
                              <w:marRight w:val="0"/>
                              <w:marTop w:val="0"/>
                              <w:marBottom w:val="0"/>
                              <w:divBdr>
                                <w:top w:val="none" w:sz="0" w:space="0" w:color="auto"/>
                                <w:left w:val="none" w:sz="0" w:space="0" w:color="auto"/>
                                <w:bottom w:val="none" w:sz="0" w:space="0" w:color="auto"/>
                                <w:right w:val="none" w:sz="0" w:space="0" w:color="auto"/>
                              </w:divBdr>
                              <w:divsChild>
                                <w:div w:id="11813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7303">
      <w:bodyDiv w:val="1"/>
      <w:marLeft w:val="0"/>
      <w:marRight w:val="0"/>
      <w:marTop w:val="0"/>
      <w:marBottom w:val="0"/>
      <w:divBdr>
        <w:top w:val="none" w:sz="0" w:space="0" w:color="auto"/>
        <w:left w:val="none" w:sz="0" w:space="0" w:color="auto"/>
        <w:bottom w:val="none" w:sz="0" w:space="0" w:color="auto"/>
        <w:right w:val="none" w:sz="0" w:space="0" w:color="auto"/>
      </w:divBdr>
    </w:div>
    <w:div w:id="1368798133">
      <w:bodyDiv w:val="1"/>
      <w:marLeft w:val="0"/>
      <w:marRight w:val="0"/>
      <w:marTop w:val="0"/>
      <w:marBottom w:val="0"/>
      <w:divBdr>
        <w:top w:val="none" w:sz="0" w:space="0" w:color="auto"/>
        <w:left w:val="none" w:sz="0" w:space="0" w:color="auto"/>
        <w:bottom w:val="none" w:sz="0" w:space="0" w:color="auto"/>
        <w:right w:val="none" w:sz="0" w:space="0" w:color="auto"/>
      </w:divBdr>
    </w:div>
    <w:div w:id="16387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loc.gov/marc/relators/relaterm.html" TargetMode="External"/><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www.loc.gov/marc/RDAinMARC-7-12.html" TargetMode="External"/><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16629</CharactersWithSpaces>
  <SharedDoc>false</SharedDoc>
  <HLinks>
    <vt:vector size="12" baseType="variant">
      <vt:variant>
        <vt:i4>3342445</vt:i4>
      </vt:variant>
      <vt:variant>
        <vt:i4>3</vt:i4>
      </vt:variant>
      <vt:variant>
        <vt:i4>0</vt:i4>
      </vt:variant>
      <vt:variant>
        <vt:i4>5</vt:i4>
      </vt:variant>
      <vt:variant>
        <vt:lpwstr>http://www.loc.gov/marc/relators/relaterm.html</vt:lpwstr>
      </vt:variant>
      <vt:variant>
        <vt:lpwstr/>
      </vt:variant>
      <vt:variant>
        <vt:i4>2097264</vt:i4>
      </vt:variant>
      <vt:variant>
        <vt:i4>0</vt:i4>
      </vt:variant>
      <vt:variant>
        <vt:i4>0</vt:i4>
      </vt:variant>
      <vt:variant>
        <vt:i4>5</vt:i4>
      </vt:variant>
      <vt:variant>
        <vt:lpwstr>http://www.loc.gov/marc/RDAinMARC-7-12.html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jstephen</dc:creator>
  <cp:lastModifiedBy>jstephen</cp:lastModifiedBy>
  <cp:revision>6</cp:revision>
  <cp:lastPrinted>2012-09-06T23:06:00Z</cp:lastPrinted>
  <dcterms:created xsi:type="dcterms:W3CDTF">2013-01-14T23:11:00Z</dcterms:created>
  <dcterms:modified xsi:type="dcterms:W3CDTF">2013-02-06T06:07:00Z</dcterms:modified>
</cp:coreProperties>
</file>