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32" w:rsidRDefault="00546A0B" w:rsidP="001A78A3">
      <w:pPr>
        <w:pStyle w:val="Heading1"/>
        <w:shd w:val="solid" w:color="7F7F7F" w:fill="7F7F7F"/>
        <w:contextualSpacing/>
      </w:pPr>
      <w:r>
        <w:t xml:space="preserve">Teaching RDA: </w:t>
      </w:r>
      <w:r w:rsidR="00671532" w:rsidRPr="00876AD2">
        <w:t>Day One</w:t>
      </w:r>
    </w:p>
    <w:p w:rsidR="00546A0B" w:rsidRDefault="00546A0B" w:rsidP="006D63E7">
      <w:pPr>
        <w:pStyle w:val="Heading2"/>
      </w:pPr>
    </w:p>
    <w:p w:rsidR="000F52E1" w:rsidRDefault="00546A0B" w:rsidP="006D63E7">
      <w:pPr>
        <w:pStyle w:val="Heading2"/>
      </w:pPr>
      <w:r>
        <w:rPr>
          <w:noProof/>
          <w:lang w:val="en-US" w:eastAsia="zh-CN" w:bidi="th-TH"/>
        </w:rPr>
        <w:drawing>
          <wp:anchor distT="0" distB="0" distL="114300" distR="114300" simplePos="0" relativeHeight="251656192" behindDoc="0" locked="0" layoutInCell="1" allowOverlap="1">
            <wp:simplePos x="0" y="0"/>
            <wp:positionH relativeFrom="column">
              <wp:posOffset>3952875</wp:posOffset>
            </wp:positionH>
            <wp:positionV relativeFrom="paragraph">
              <wp:posOffset>524510</wp:posOffset>
            </wp:positionV>
            <wp:extent cx="1619885" cy="1188720"/>
            <wp:effectExtent l="19050" t="19050" r="18415" b="11430"/>
            <wp:wrapSquare wrapText="bothSides"/>
            <wp:docPr id="56" name="Picture 5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yBitmap"/>
                    <pic:cNvPicPr>
                      <a:picLocks noChangeAspect="1" noChangeArrowheads="1"/>
                    </pic:cNvPicPr>
                  </pic:nvPicPr>
                  <pic:blipFill>
                    <a:blip r:embed="rId7" cstate="print"/>
                    <a:srcRect/>
                    <a:stretch>
                      <a:fillRect/>
                    </a:stretch>
                  </pic:blipFill>
                  <pic:spPr bwMode="auto">
                    <a:xfrm>
                      <a:off x="0" y="0"/>
                      <a:ext cx="1619885" cy="1188720"/>
                    </a:xfrm>
                    <a:prstGeom prst="rect">
                      <a:avLst/>
                    </a:prstGeom>
                    <a:noFill/>
                    <a:ln w="12700">
                      <a:solidFill>
                        <a:srgbClr val="000000"/>
                      </a:solidFill>
                      <a:miter lim="800000"/>
                      <a:headEnd/>
                      <a:tailEnd/>
                    </a:ln>
                  </pic:spPr>
                </pic:pic>
              </a:graphicData>
            </a:graphic>
          </wp:anchor>
        </w:drawing>
      </w:r>
      <w:r w:rsidR="000F52E1" w:rsidRPr="00876AD2">
        <w:t xml:space="preserve">Module </w:t>
      </w:r>
      <w:r w:rsidR="0010150D">
        <w:t>4:</w:t>
      </w:r>
      <w:r w:rsidR="000F52E1" w:rsidRPr="00876AD2">
        <w:t xml:space="preserve"> Key differences from AACR2</w:t>
      </w:r>
      <w:r w:rsidR="0010150D">
        <w:t>: Structure</w:t>
      </w:r>
    </w:p>
    <w:p w:rsidR="006F5BAC" w:rsidRPr="006F5BAC" w:rsidRDefault="006F5BAC" w:rsidP="006F5BAC">
      <w:pPr>
        <w:rPr>
          <w:i/>
        </w:rPr>
      </w:pPr>
      <w:r w:rsidRPr="006F5BAC">
        <w:rPr>
          <w:i/>
        </w:rPr>
        <w:t>[Note to presenters: From this module on, as you talk, get the participants to follow along in RDA with you]</w:t>
      </w:r>
    </w:p>
    <w:p w:rsidR="00546A0B" w:rsidRDefault="00546A0B" w:rsidP="001A78A3">
      <w:pPr>
        <w:contextualSpacing/>
      </w:pPr>
    </w:p>
    <w:p w:rsidR="00AE743B" w:rsidRDefault="00A868FB" w:rsidP="001A78A3">
      <w:pPr>
        <w:contextualSpacing/>
      </w:pPr>
      <w:r w:rsidRPr="00A868FB">
        <w:t xml:space="preserve">In this module, we’re going to look at the key aspects of RDA’s structure and how it differs from AACR2.  </w:t>
      </w:r>
    </w:p>
    <w:p w:rsidR="00F439E7" w:rsidRDefault="00F439E7" w:rsidP="001A78A3">
      <w:pPr>
        <w:contextualSpacing/>
      </w:pPr>
    </w:p>
    <w:p w:rsidR="00870A30" w:rsidRDefault="007A4128" w:rsidP="00F439E7">
      <w:pPr>
        <w:pStyle w:val="Heading3"/>
      </w:pPr>
      <w:r>
        <w:rPr>
          <w:noProof/>
          <w:lang w:val="en-US" w:eastAsia="zh-CN" w:bidi="th-TH"/>
        </w:rPr>
        <w:pict>
          <v:shapetype id="_x0000_t32" coordsize="21600,21600" o:spt="32" o:oned="t" path="m,l21600,21600e" filled="f">
            <v:path arrowok="t" fillok="f" o:connecttype="none"/>
            <o:lock v:ext="edit" shapetype="t"/>
          </v:shapetype>
          <v:shape id="_x0000_s1078" type="#_x0000_t32" style="position:absolute;margin-left:12.5pt;margin-top:14.7pt;width:430pt;height:.5pt;flip:y;z-index:251654144" o:connectortype="straight" strokecolor="#5f497a" strokeweight="3pt">
            <v:shadow type="perspective" color="#3f3151" opacity=".5" offset="1pt" offset2="-1pt"/>
          </v:shape>
        </w:pict>
      </w:r>
    </w:p>
    <w:p w:rsidR="00F439E7" w:rsidRDefault="00F439E7" w:rsidP="00F439E7">
      <w:pPr>
        <w:pStyle w:val="Heading3"/>
      </w:pPr>
      <w:r>
        <w:t>Resources:</w:t>
      </w:r>
    </w:p>
    <w:p w:rsidR="00870A30" w:rsidRDefault="00F439E7" w:rsidP="002E269F">
      <w:pPr>
        <w:numPr>
          <w:ilvl w:val="0"/>
          <w:numId w:val="28"/>
        </w:numPr>
      </w:pPr>
      <w:r>
        <w:t>RDA Toolkit</w:t>
      </w:r>
    </w:p>
    <w:p w:rsidR="00CB2089" w:rsidRDefault="00CB2089" w:rsidP="002E269F">
      <w:pPr>
        <w:numPr>
          <w:ilvl w:val="0"/>
          <w:numId w:val="28"/>
        </w:numPr>
      </w:pPr>
      <w:r>
        <w:t>International Cataloguing Principles (ICP)</w:t>
      </w:r>
    </w:p>
    <w:p w:rsidR="00CB2089" w:rsidRDefault="00CB2089" w:rsidP="002E269F">
      <w:pPr>
        <w:numPr>
          <w:ilvl w:val="0"/>
          <w:numId w:val="28"/>
        </w:numPr>
      </w:pPr>
      <w:r>
        <w:t>PowerPoint quiz (on desktop)</w:t>
      </w:r>
    </w:p>
    <w:p w:rsidR="00833850" w:rsidRDefault="00833850" w:rsidP="002E269F">
      <w:pPr>
        <w:numPr>
          <w:ilvl w:val="0"/>
          <w:numId w:val="28"/>
        </w:numPr>
      </w:pPr>
      <w:r>
        <w:t>Structure template</w:t>
      </w:r>
    </w:p>
    <w:p w:rsidR="00870A30" w:rsidRDefault="007A4128" w:rsidP="00870A30">
      <w:pPr>
        <w:ind w:left="720"/>
      </w:pPr>
      <w:r>
        <w:rPr>
          <w:noProof/>
          <w:lang w:val="en-US" w:eastAsia="zh-CN" w:bidi="th-TH"/>
        </w:rPr>
        <w:pict>
          <v:shape id="_x0000_s1079" type="#_x0000_t32" style="position:absolute;left:0;text-align:left;margin-left:12.5pt;margin-top:7.6pt;width:430pt;height:.5pt;flip:y;z-index:251655168" o:connectortype="straight" strokecolor="#5f497a" strokeweight="3pt">
            <v:shadow type="perspective" color="#3f3151" opacity=".5" offset="1pt" offset2="-1pt"/>
          </v:shape>
        </w:pict>
      </w:r>
    </w:p>
    <w:p w:rsidR="00F439E7" w:rsidRDefault="007A4128" w:rsidP="00F439E7">
      <w:pPr>
        <w:pStyle w:val="Heading3"/>
      </w:pPr>
      <w:r w:rsidRPr="007A4128">
        <w:rPr>
          <w:noProof/>
          <w:lang w:eastAsia="zh-TW"/>
        </w:rPr>
        <w:pict>
          <v:shapetype id="_x0000_t202" coordsize="21600,21600" o:spt="202" path="m,l,21600r21600,l21600,xe">
            <v:stroke joinstyle="miter"/>
            <v:path gradientshapeok="t" o:connecttype="rect"/>
          </v:shapetype>
          <v:shape id="_x0000_s1097" type="#_x0000_t202" style="position:absolute;margin-left:330.7pt;margin-top:4.9pt;width:111.8pt;height:23.1pt;z-index:251671552;mso-width-relative:margin;mso-height-relative:margin">
            <v:textbox>
              <w:txbxContent>
                <w:p w:rsidR="005A6137" w:rsidRDefault="005A6137" w:rsidP="00CB2089">
                  <w:pPr>
                    <w:jc w:val="center"/>
                  </w:pPr>
                  <w:r>
                    <w:t>Handbook: Page 28</w:t>
                  </w:r>
                </w:p>
              </w:txbxContent>
            </v:textbox>
          </v:shape>
        </w:pict>
      </w:r>
      <w:r w:rsidR="00F439E7">
        <w:t>Learning outcomes</w:t>
      </w:r>
    </w:p>
    <w:p w:rsidR="00870A30" w:rsidRPr="00870A30" w:rsidRDefault="000809A2" w:rsidP="00870A30">
      <w:r>
        <w:rPr>
          <w:noProof/>
          <w:lang w:val="en-US" w:eastAsia="zh-CN" w:bidi="th-TH"/>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210820</wp:posOffset>
            </wp:positionV>
            <wp:extent cx="1619885" cy="1205865"/>
            <wp:effectExtent l="19050" t="19050" r="18415" b="13335"/>
            <wp:wrapSquare wrapText="bothSides"/>
            <wp:docPr id="58" name="Picture 58"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yBitmap"/>
                    <pic:cNvPicPr>
                      <a:picLocks noChangeAspect="1" noChangeArrowheads="1"/>
                    </pic:cNvPicPr>
                  </pic:nvPicPr>
                  <pic:blipFill>
                    <a:blip r:embed="rId8" cstate="print"/>
                    <a:srcRect/>
                    <a:stretch>
                      <a:fillRect/>
                    </a:stretch>
                  </pic:blipFill>
                  <pic:spPr bwMode="auto">
                    <a:xfrm>
                      <a:off x="0" y="0"/>
                      <a:ext cx="1619885" cy="1205865"/>
                    </a:xfrm>
                    <a:prstGeom prst="rect">
                      <a:avLst/>
                    </a:prstGeom>
                    <a:noFill/>
                    <a:ln w="12700">
                      <a:solidFill>
                        <a:srgbClr val="000000"/>
                      </a:solidFill>
                      <a:miter lim="800000"/>
                      <a:headEnd/>
                      <a:tailEnd/>
                    </a:ln>
                  </pic:spPr>
                </pic:pic>
              </a:graphicData>
            </a:graphic>
          </wp:anchor>
        </w:drawing>
      </w:r>
    </w:p>
    <w:p w:rsidR="00F439E7" w:rsidRDefault="00F439E7" w:rsidP="00F439E7">
      <w:pPr>
        <w:numPr>
          <w:ilvl w:val="0"/>
          <w:numId w:val="29"/>
        </w:numPr>
      </w:pPr>
      <w:r>
        <w:t>Similarities between AACR2 and RDA</w:t>
      </w:r>
    </w:p>
    <w:p w:rsidR="00F439E7" w:rsidRDefault="00F439E7" w:rsidP="00F439E7">
      <w:pPr>
        <w:numPr>
          <w:ilvl w:val="0"/>
          <w:numId w:val="29"/>
        </w:numPr>
      </w:pPr>
      <w:r>
        <w:t>Structural differences between AACR2 and RDA</w:t>
      </w:r>
    </w:p>
    <w:p w:rsidR="00870A30" w:rsidRDefault="00870A30" w:rsidP="00870A30">
      <w:pPr>
        <w:contextualSpacing/>
      </w:pPr>
      <w:r w:rsidRPr="00A868FB">
        <w:t xml:space="preserve">Understanding how RDA is structured </w:t>
      </w:r>
      <w:r>
        <w:t>is</w:t>
      </w:r>
      <w:r w:rsidRPr="00A868FB">
        <w:t xml:space="preserve"> very important when cataloguing with RDA because although the instructions themselves aren’t very different (and we will go into that in more detail tomorrow), how you </w:t>
      </w:r>
      <w:r w:rsidRPr="00A868FB">
        <w:rPr>
          <w:i/>
          <w:iCs/>
        </w:rPr>
        <w:t>find</w:t>
      </w:r>
      <w:r w:rsidRPr="00A868FB">
        <w:t xml:space="preserve"> them is.</w:t>
      </w:r>
    </w:p>
    <w:p w:rsidR="00F439E7" w:rsidRDefault="00F439E7" w:rsidP="001A78A3">
      <w:pPr>
        <w:contextualSpacing/>
      </w:pPr>
    </w:p>
    <w:p w:rsidR="00F439E7" w:rsidRDefault="007A4128" w:rsidP="001A78A3">
      <w:pPr>
        <w:contextualSpacing/>
      </w:pPr>
      <w:r>
        <w:rPr>
          <w:noProof/>
          <w:lang w:val="en-US" w:eastAsia="zh-CN" w:bidi="th-TH"/>
        </w:rPr>
        <w:pict>
          <v:shape id="_x0000_s1081" type="#_x0000_t32" style="position:absolute;margin-left:12.5pt;margin-top:12.3pt;width:430pt;height:.5pt;flip:y;z-index:251657216" o:connectortype="straight" strokecolor="#5f497a" strokeweight="3pt">
            <v:shadow type="perspective" color="#3f3151" opacity=".5" offset="1pt" offset2="-1pt"/>
          </v:shape>
        </w:pict>
      </w:r>
    </w:p>
    <w:p w:rsidR="00F439E7" w:rsidRDefault="00F439E7" w:rsidP="001A78A3">
      <w:pPr>
        <w:contextualSpacing/>
      </w:pPr>
    </w:p>
    <w:p w:rsidR="00A868FB" w:rsidRDefault="00A868FB" w:rsidP="001A78A3">
      <w:pPr>
        <w:contextualSpacing/>
      </w:pPr>
    </w:p>
    <w:p w:rsidR="00546A0B" w:rsidRDefault="00546A0B">
      <w:pPr>
        <w:spacing w:after="0" w:line="240" w:lineRule="auto"/>
      </w:pPr>
      <w:r>
        <w:br w:type="page"/>
      </w:r>
    </w:p>
    <w:p w:rsidR="00870A30" w:rsidRDefault="00870A30" w:rsidP="001A78A3">
      <w:pPr>
        <w:contextualSpacing/>
      </w:pPr>
    </w:p>
    <w:p w:rsidR="00D03771" w:rsidRPr="0053755A" w:rsidRDefault="0053755A" w:rsidP="00870A30">
      <w:pPr>
        <w:pStyle w:val="Heading3"/>
      </w:pPr>
      <w:r>
        <w:t>What has not changed</w:t>
      </w:r>
    </w:p>
    <w:p w:rsidR="0053755A" w:rsidRDefault="0053755A" w:rsidP="001A78A3">
      <w:pPr>
        <w:contextualSpacing/>
      </w:pPr>
    </w:p>
    <w:p w:rsidR="0053755A" w:rsidRPr="0053755A" w:rsidRDefault="00546A0B" w:rsidP="0053755A">
      <w:pPr>
        <w:kinsoku w:val="0"/>
        <w:overflowPunct w:val="0"/>
        <w:spacing w:before="86" w:after="0" w:line="240" w:lineRule="auto"/>
        <w:textAlignment w:val="baseline"/>
        <w:rPr>
          <w:rFonts w:ascii="Times New Roman" w:eastAsia="Times New Roman" w:hAnsi="Times New Roman"/>
          <w:lang w:val="en-US" w:eastAsia="zh-CN" w:bidi="th-TH"/>
        </w:rPr>
      </w:pPr>
      <w:r>
        <w:rPr>
          <w:rFonts w:eastAsia="+mn-ea" w:cs="+mn-cs"/>
          <w:noProof/>
          <w:color w:val="000000"/>
          <w:kern w:val="24"/>
          <w:lang w:val="en-US" w:eastAsia="zh-CN" w:bidi="th-TH"/>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157480</wp:posOffset>
            </wp:positionV>
            <wp:extent cx="1619885" cy="1205865"/>
            <wp:effectExtent l="19050" t="19050" r="18415" b="13335"/>
            <wp:wrapSquare wrapText="bothSides"/>
            <wp:docPr id="59" name="Picture 59"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yBitmap"/>
                    <pic:cNvPicPr>
                      <a:picLocks noChangeAspect="1" noChangeArrowheads="1"/>
                    </pic:cNvPicPr>
                  </pic:nvPicPr>
                  <pic:blipFill>
                    <a:blip r:embed="rId9" cstate="print"/>
                    <a:srcRect/>
                    <a:stretch>
                      <a:fillRect/>
                    </a:stretch>
                  </pic:blipFill>
                  <pic:spPr bwMode="auto">
                    <a:xfrm>
                      <a:off x="0" y="0"/>
                      <a:ext cx="1619885" cy="1205865"/>
                    </a:xfrm>
                    <a:prstGeom prst="rect">
                      <a:avLst/>
                    </a:prstGeom>
                    <a:noFill/>
                    <a:ln w="12700">
                      <a:solidFill>
                        <a:srgbClr val="000000"/>
                      </a:solidFill>
                      <a:miter lim="800000"/>
                      <a:headEnd/>
                      <a:tailEnd/>
                    </a:ln>
                  </pic:spPr>
                </pic:pic>
              </a:graphicData>
            </a:graphic>
          </wp:anchor>
        </w:drawing>
      </w:r>
      <w:r w:rsidR="0053755A" w:rsidRPr="0053755A">
        <w:rPr>
          <w:rFonts w:eastAsia="+mn-ea" w:cs="+mn-cs"/>
          <w:color w:val="000000"/>
          <w:kern w:val="24"/>
          <w:lang w:eastAsia="zh-CN" w:bidi="th-TH"/>
        </w:rPr>
        <w:t xml:space="preserve">Firstly, let’s look at what HASN’T changed.  </w:t>
      </w:r>
    </w:p>
    <w:p w:rsidR="0053755A" w:rsidRPr="0053755A" w:rsidRDefault="004A12E4" w:rsidP="00AE743B">
      <w:pPr>
        <w:numPr>
          <w:ilvl w:val="0"/>
          <w:numId w:val="18"/>
        </w:numPr>
        <w:kinsoku w:val="0"/>
        <w:overflowPunct w:val="0"/>
        <w:spacing w:before="86" w:after="0" w:line="240" w:lineRule="auto"/>
        <w:textAlignment w:val="baseline"/>
        <w:rPr>
          <w:rFonts w:ascii="Times New Roman" w:eastAsia="Times New Roman" w:hAnsi="Times New Roman"/>
          <w:lang w:val="en-US" w:eastAsia="zh-CN" w:bidi="th-TH"/>
        </w:rPr>
      </w:pPr>
      <w:r>
        <w:rPr>
          <w:rFonts w:eastAsia="+mn-ea" w:cs="+mn-cs"/>
          <w:color w:val="000000"/>
          <w:kern w:val="24"/>
          <w:lang w:eastAsia="zh-CN" w:bidi="th-TH"/>
        </w:rPr>
        <w:t>The</w:t>
      </w:r>
      <w:r w:rsidR="0053755A" w:rsidRPr="0053755A">
        <w:rPr>
          <w:rFonts w:eastAsia="+mn-ea" w:cs="+mn-cs"/>
          <w:color w:val="000000"/>
          <w:kern w:val="24"/>
          <w:lang w:eastAsia="zh-CN" w:bidi="th-TH"/>
        </w:rPr>
        <w:t xml:space="preserve"> instructions that were in AACR2 formed the basis of the text for RDA, so you will find that MANY of them haven’t changed much.   They may have been reworded to make them easier to understand, but they’re still there. </w:t>
      </w:r>
    </w:p>
    <w:p w:rsidR="0053755A" w:rsidRPr="0053755A" w:rsidRDefault="0053755A" w:rsidP="00AE743B">
      <w:pPr>
        <w:numPr>
          <w:ilvl w:val="0"/>
          <w:numId w:val="18"/>
        </w:numPr>
        <w:kinsoku w:val="0"/>
        <w:overflowPunct w:val="0"/>
        <w:spacing w:before="86" w:after="0" w:line="240" w:lineRule="auto"/>
        <w:textAlignment w:val="baseline"/>
        <w:rPr>
          <w:rFonts w:ascii="Times New Roman" w:eastAsia="Times New Roman" w:hAnsi="Times New Roman"/>
          <w:lang w:val="en-US" w:eastAsia="zh-CN" w:bidi="th-TH"/>
        </w:rPr>
      </w:pPr>
      <w:r w:rsidRPr="0053755A">
        <w:rPr>
          <w:rFonts w:eastAsia="+mn-ea" w:cs="+mn-cs"/>
          <w:color w:val="000000"/>
          <w:kern w:val="24"/>
          <w:lang w:eastAsia="zh-CN" w:bidi="th-TH"/>
        </w:rPr>
        <w:t>It also includes options and alternatives, like AACR2 does, and many of these are the same, though there’s more now, and some AACR2 options have become part of the main instructions of RDA.</w:t>
      </w:r>
    </w:p>
    <w:p w:rsidR="0053755A" w:rsidRPr="0053755A" w:rsidRDefault="0053755A" w:rsidP="00AE743B">
      <w:pPr>
        <w:numPr>
          <w:ilvl w:val="0"/>
          <w:numId w:val="18"/>
        </w:numPr>
        <w:kinsoku w:val="0"/>
        <w:overflowPunct w:val="0"/>
        <w:spacing w:before="86" w:after="0" w:line="240" w:lineRule="auto"/>
        <w:textAlignment w:val="baseline"/>
        <w:rPr>
          <w:rFonts w:ascii="Times New Roman" w:eastAsia="Times New Roman" w:hAnsi="Times New Roman"/>
          <w:lang w:val="en-US" w:eastAsia="zh-CN" w:bidi="th-TH"/>
        </w:rPr>
      </w:pPr>
      <w:r w:rsidRPr="0053755A">
        <w:rPr>
          <w:rFonts w:eastAsia="+mn-ea" w:cs="+mn-cs"/>
          <w:color w:val="000000"/>
          <w:kern w:val="24"/>
          <w:lang w:eastAsia="zh-CN" w:bidi="th-TH"/>
        </w:rPr>
        <w:t xml:space="preserve">There </w:t>
      </w:r>
      <w:r w:rsidR="00AE743B">
        <w:rPr>
          <w:rFonts w:eastAsia="+mn-ea" w:cs="+mn-cs"/>
          <w:color w:val="000000"/>
          <w:kern w:val="24"/>
          <w:lang w:eastAsia="zh-CN" w:bidi="th-TH"/>
        </w:rPr>
        <w:t xml:space="preserve">are </w:t>
      </w:r>
      <w:r w:rsidRPr="0053755A">
        <w:rPr>
          <w:rFonts w:eastAsia="+mn-ea" w:cs="+mn-cs"/>
          <w:color w:val="000000"/>
          <w:kern w:val="24"/>
          <w:lang w:eastAsia="zh-CN" w:bidi="th-TH"/>
        </w:rPr>
        <w:t xml:space="preserve">still </w:t>
      </w:r>
      <w:r w:rsidR="00AE743B">
        <w:rPr>
          <w:rFonts w:eastAsia="+mn-ea" w:cs="+mn-cs"/>
          <w:color w:val="000000"/>
          <w:kern w:val="24"/>
          <w:lang w:eastAsia="zh-CN" w:bidi="th-TH"/>
        </w:rPr>
        <w:t>L</w:t>
      </w:r>
      <w:r w:rsidRPr="0053755A">
        <w:rPr>
          <w:rFonts w:eastAsia="+mn-ea" w:cs="+mn-cs"/>
          <w:color w:val="000000"/>
          <w:kern w:val="24"/>
          <w:lang w:eastAsia="zh-CN" w:bidi="th-TH"/>
        </w:rPr>
        <w:t>C policies and interpretations, now called LC</w:t>
      </w:r>
      <w:r w:rsidR="00A720F3">
        <w:rPr>
          <w:rFonts w:eastAsia="+mn-ea" w:cs="+mn-cs"/>
          <w:color w:val="000000"/>
          <w:kern w:val="24"/>
          <w:lang w:eastAsia="zh-CN" w:bidi="th-TH"/>
        </w:rPr>
        <w:t xml:space="preserve">-PCC </w:t>
      </w:r>
      <w:r w:rsidRPr="0053755A">
        <w:rPr>
          <w:rFonts w:eastAsia="+mn-ea" w:cs="+mn-cs"/>
          <w:color w:val="000000"/>
          <w:kern w:val="24"/>
          <w:lang w:eastAsia="zh-CN" w:bidi="th-TH"/>
        </w:rPr>
        <w:t>PS, and many of these won’t change either. I will talk more about policies in a moment.</w:t>
      </w:r>
    </w:p>
    <w:p w:rsidR="0053755A" w:rsidRPr="0053755A" w:rsidRDefault="0053755A" w:rsidP="00AE743B">
      <w:pPr>
        <w:numPr>
          <w:ilvl w:val="0"/>
          <w:numId w:val="18"/>
        </w:numPr>
        <w:kinsoku w:val="0"/>
        <w:overflowPunct w:val="0"/>
        <w:spacing w:before="86" w:after="0" w:line="240" w:lineRule="auto"/>
        <w:textAlignment w:val="baseline"/>
        <w:rPr>
          <w:rFonts w:ascii="Times New Roman" w:eastAsia="Times New Roman" w:hAnsi="Times New Roman"/>
          <w:lang w:val="en-US" w:eastAsia="zh-CN" w:bidi="th-TH"/>
        </w:rPr>
      </w:pPr>
      <w:r w:rsidRPr="0053755A">
        <w:rPr>
          <w:rFonts w:eastAsia="+mn-ea" w:cs="+mn-cs"/>
          <w:color w:val="000000"/>
          <w:kern w:val="24"/>
          <w:lang w:eastAsia="zh-CN" w:bidi="th-TH"/>
        </w:rPr>
        <w:t xml:space="preserve">We’ll still be able to code </w:t>
      </w:r>
      <w:r w:rsidR="00AE743B">
        <w:rPr>
          <w:rFonts w:eastAsia="+mn-ea" w:cs="+mn-cs"/>
          <w:color w:val="000000"/>
          <w:kern w:val="24"/>
          <w:lang w:eastAsia="zh-CN" w:bidi="th-TH"/>
        </w:rPr>
        <w:t>in MARC records</w:t>
      </w:r>
      <w:r w:rsidRPr="0053755A">
        <w:rPr>
          <w:rFonts w:eastAsia="+mn-ea" w:cs="+mn-cs"/>
          <w:color w:val="000000"/>
          <w:kern w:val="24"/>
          <w:lang w:eastAsia="zh-CN" w:bidi="th-TH"/>
        </w:rPr>
        <w:t xml:space="preserve"> and </w:t>
      </w:r>
      <w:r w:rsidR="00AE743B">
        <w:rPr>
          <w:rFonts w:eastAsia="+mn-ea" w:cs="+mn-cs"/>
          <w:color w:val="000000"/>
          <w:kern w:val="24"/>
          <w:lang w:eastAsia="zh-CN" w:bidi="th-TH"/>
        </w:rPr>
        <w:t>use</w:t>
      </w:r>
      <w:r w:rsidRPr="0053755A">
        <w:rPr>
          <w:rFonts w:eastAsia="+mn-ea" w:cs="+mn-cs"/>
          <w:color w:val="000000"/>
          <w:kern w:val="24"/>
          <w:lang w:eastAsia="zh-CN" w:bidi="th-TH"/>
        </w:rPr>
        <w:t xml:space="preserve"> ISBD record structure that we are used to.  There are some changes to MARC and ISBD, and we’ll look at them later</w:t>
      </w:r>
      <w:r w:rsidR="00AE743B">
        <w:rPr>
          <w:rFonts w:eastAsia="+mn-ea" w:cs="+mn-cs"/>
          <w:color w:val="000000"/>
          <w:kern w:val="24"/>
          <w:lang w:eastAsia="zh-CN" w:bidi="th-TH"/>
        </w:rPr>
        <w:t>.</w:t>
      </w:r>
    </w:p>
    <w:p w:rsidR="0053755A" w:rsidRDefault="0053755A" w:rsidP="0013228E">
      <w:pPr>
        <w:contextualSpacing/>
        <w:rPr>
          <w:b/>
          <w:bCs/>
        </w:rPr>
      </w:pPr>
    </w:p>
    <w:p w:rsidR="0053755A" w:rsidRDefault="007A4128" w:rsidP="0013228E">
      <w:pPr>
        <w:contextualSpacing/>
        <w:rPr>
          <w:b/>
          <w:bCs/>
        </w:rPr>
      </w:pPr>
      <w:r>
        <w:rPr>
          <w:b/>
          <w:bCs/>
          <w:noProof/>
          <w:lang w:val="en-US" w:eastAsia="zh-CN" w:bidi="th-TH"/>
        </w:rPr>
        <w:pict>
          <v:shape id="_x0000_s1052" type="#_x0000_t32" style="position:absolute;margin-left:5.4pt;margin-top:1.9pt;width:437.1pt;height:0;z-index:251640832" o:connectortype="straight" strokecolor="#5f497a [2407]" strokeweight="3pt">
            <v:shadow type="perspective" color="#3f3151" opacity=".5" offset="1pt" offset2="-1pt"/>
          </v:shape>
        </w:pict>
      </w:r>
    </w:p>
    <w:p w:rsidR="0053755A" w:rsidRDefault="000809A2" w:rsidP="00870A30">
      <w:pPr>
        <w:pStyle w:val="Heading3"/>
      </w:pPr>
      <w:r>
        <w:rPr>
          <w:noProof/>
          <w:lang w:val="en-US" w:eastAsia="zh-CN" w:bidi="th-TH"/>
        </w:rPr>
        <w:drawing>
          <wp:anchor distT="0" distB="0" distL="114300" distR="114300" simplePos="0" relativeHeight="251660288" behindDoc="0" locked="0" layoutInCell="1" allowOverlap="1">
            <wp:simplePos x="0" y="0"/>
            <wp:positionH relativeFrom="column">
              <wp:posOffset>4000500</wp:posOffset>
            </wp:positionH>
            <wp:positionV relativeFrom="paragraph">
              <wp:posOffset>231775</wp:posOffset>
            </wp:positionV>
            <wp:extent cx="1619885" cy="1218565"/>
            <wp:effectExtent l="19050" t="19050" r="18415" b="19685"/>
            <wp:wrapSquare wrapText="bothSides"/>
            <wp:docPr id="60" name="Picture 60"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yBitmap"/>
                    <pic:cNvPicPr>
                      <a:picLocks noChangeAspect="1" noChangeArrowheads="1"/>
                    </pic:cNvPicPr>
                  </pic:nvPicPr>
                  <pic:blipFill>
                    <a:blip r:embed="rId10" cstate="print"/>
                    <a:srcRect/>
                    <a:stretch>
                      <a:fillRect/>
                    </a:stretch>
                  </pic:blipFill>
                  <pic:spPr bwMode="auto">
                    <a:xfrm>
                      <a:off x="0" y="0"/>
                      <a:ext cx="1619885" cy="1218565"/>
                    </a:xfrm>
                    <a:prstGeom prst="rect">
                      <a:avLst/>
                    </a:prstGeom>
                    <a:noFill/>
                    <a:ln w="12700">
                      <a:solidFill>
                        <a:srgbClr val="000000"/>
                      </a:solidFill>
                      <a:miter lim="800000"/>
                      <a:headEnd/>
                      <a:tailEnd/>
                    </a:ln>
                  </pic:spPr>
                </pic:pic>
              </a:graphicData>
            </a:graphic>
          </wp:anchor>
        </w:drawing>
      </w:r>
      <w:r w:rsidR="0053755A">
        <w:t>What has changed</w:t>
      </w:r>
    </w:p>
    <w:p w:rsidR="00E12E31" w:rsidRDefault="00E12E31" w:rsidP="0013228E">
      <w:pPr>
        <w:contextualSpacing/>
        <w:rPr>
          <w:b/>
          <w:bCs/>
        </w:rPr>
      </w:pPr>
    </w:p>
    <w:p w:rsidR="0053755A" w:rsidRDefault="00657C09" w:rsidP="0013228E">
      <w:pPr>
        <w:contextualSpacing/>
      </w:pPr>
      <w:r>
        <w:t>This slide shows some of the broad differences between AACR2 and RDA.</w:t>
      </w:r>
    </w:p>
    <w:p w:rsidR="00657C09" w:rsidRDefault="00657C09" w:rsidP="0013228E">
      <w:pPr>
        <w:contextualSpacing/>
      </w:pPr>
    </w:p>
    <w:p w:rsidR="00657C09" w:rsidRDefault="00657C09" w:rsidP="0013228E">
      <w:pPr>
        <w:contextualSpacing/>
      </w:pPr>
    </w:p>
    <w:p w:rsidR="00657C09" w:rsidRDefault="00657C09" w:rsidP="0013228E">
      <w:pPr>
        <w:contextualSpacing/>
      </w:pPr>
      <w:r>
        <w:t>We will look at these in more detail</w:t>
      </w:r>
    </w:p>
    <w:p w:rsidR="00E12E31" w:rsidRDefault="00E12E31" w:rsidP="0013228E">
      <w:pPr>
        <w:contextualSpacing/>
      </w:pPr>
    </w:p>
    <w:p w:rsidR="00E12E31" w:rsidRDefault="00E12E31" w:rsidP="0013228E">
      <w:pPr>
        <w:contextualSpacing/>
      </w:pPr>
    </w:p>
    <w:p w:rsidR="00E12E31" w:rsidRDefault="00E12E31" w:rsidP="0013228E">
      <w:pPr>
        <w:contextualSpacing/>
      </w:pPr>
    </w:p>
    <w:p w:rsidR="00E12E31" w:rsidRDefault="007A4128" w:rsidP="0013228E">
      <w:pPr>
        <w:contextualSpacing/>
      </w:pPr>
      <w:r w:rsidRPr="007A4128">
        <w:rPr>
          <w:b/>
          <w:bCs/>
          <w:noProof/>
          <w:lang w:val="en-US" w:eastAsia="zh-CN" w:bidi="th-TH"/>
        </w:rPr>
        <w:pict>
          <v:shape id="_x0000_s1054" type="#_x0000_t32" style="position:absolute;margin-left:13.65pt;margin-top:6.2pt;width:437.1pt;height:0;z-index:251641856" o:connectortype="straight" strokecolor="#5f497a [2407]" strokeweight="3pt">
            <v:shadow type="perspective" color="#3f3151" opacity=".5" offset="1pt" offset2="-1pt"/>
          </v:shape>
        </w:pict>
      </w:r>
    </w:p>
    <w:p w:rsidR="00BA34F0" w:rsidRDefault="000809A2" w:rsidP="00546A0B">
      <w:pPr>
        <w:pStyle w:val="Heading4"/>
      </w:pPr>
      <w:r>
        <w:rPr>
          <w:noProof/>
          <w:lang w:val="en-US" w:eastAsia="zh-CN" w:bidi="th-TH"/>
        </w:rPr>
        <w:drawing>
          <wp:anchor distT="0" distB="0" distL="114300" distR="114300" simplePos="0" relativeHeight="251661312" behindDoc="0" locked="0" layoutInCell="1" allowOverlap="1">
            <wp:simplePos x="0" y="0"/>
            <wp:positionH relativeFrom="column">
              <wp:posOffset>4000500</wp:posOffset>
            </wp:positionH>
            <wp:positionV relativeFrom="paragraph">
              <wp:posOffset>173990</wp:posOffset>
            </wp:positionV>
            <wp:extent cx="1619885" cy="1204595"/>
            <wp:effectExtent l="19050" t="19050" r="18415" b="14605"/>
            <wp:wrapSquare wrapText="bothSides"/>
            <wp:docPr id="61" name="Picture 61"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yBitmap"/>
                    <pic:cNvPicPr>
                      <a:picLocks noChangeAspect="1" noChangeArrowheads="1"/>
                    </pic:cNvPicPr>
                  </pic:nvPicPr>
                  <pic:blipFill>
                    <a:blip r:embed="rId11" cstate="print"/>
                    <a:srcRect/>
                    <a:stretch>
                      <a:fillRect/>
                    </a:stretch>
                  </pic:blipFill>
                  <pic:spPr bwMode="auto">
                    <a:xfrm>
                      <a:off x="0" y="0"/>
                      <a:ext cx="1619885" cy="1204595"/>
                    </a:xfrm>
                    <a:prstGeom prst="rect">
                      <a:avLst/>
                    </a:prstGeom>
                    <a:noFill/>
                    <a:ln w="12700">
                      <a:solidFill>
                        <a:srgbClr val="000000"/>
                      </a:solidFill>
                      <a:miter lim="800000"/>
                      <a:headEnd/>
                      <a:tailEnd/>
                    </a:ln>
                  </pic:spPr>
                </pic:pic>
              </a:graphicData>
            </a:graphic>
          </wp:anchor>
        </w:drawing>
      </w:r>
      <w:r w:rsidR="00E34E37">
        <w:t>Format neutral</w:t>
      </w:r>
    </w:p>
    <w:p w:rsidR="00AE743B" w:rsidRDefault="00E8207D" w:rsidP="00BA34F0">
      <w:pPr>
        <w:numPr>
          <w:ilvl w:val="0"/>
          <w:numId w:val="30"/>
        </w:numPr>
        <w:contextualSpacing/>
      </w:pPr>
      <w:r>
        <w:t xml:space="preserve">RDA is not organised according to format; it gives greater emphasis to intellectual content than physical format.  </w:t>
      </w:r>
    </w:p>
    <w:p w:rsidR="00AE743B" w:rsidRDefault="00E8207D" w:rsidP="00AE743B">
      <w:pPr>
        <w:numPr>
          <w:ilvl w:val="0"/>
          <w:numId w:val="19"/>
        </w:numPr>
        <w:contextualSpacing/>
      </w:pPr>
      <w:r>
        <w:t>There is no one section to go to where you will find all the instructions for cataloguing a particular format of material</w:t>
      </w:r>
    </w:p>
    <w:p w:rsidR="00AE743B" w:rsidRDefault="00A720F3" w:rsidP="00AE743B">
      <w:pPr>
        <w:numPr>
          <w:ilvl w:val="0"/>
          <w:numId w:val="19"/>
        </w:numPr>
        <w:contextualSpacing/>
      </w:pPr>
      <w:r>
        <w:t>RDA</w:t>
      </w:r>
      <w:r w:rsidR="00E8207D" w:rsidRPr="00E8207D">
        <w:t xml:space="preserve"> assumes that whatever you are describing will have a common set of content elements (title, creator) so it is arranged according to these elements.</w:t>
      </w:r>
      <w:r w:rsidR="00E8207D">
        <w:t xml:space="preserve">  </w:t>
      </w:r>
    </w:p>
    <w:p w:rsidR="0053755A" w:rsidRDefault="00E8207D" w:rsidP="00AE743B">
      <w:pPr>
        <w:numPr>
          <w:ilvl w:val="0"/>
          <w:numId w:val="19"/>
        </w:numPr>
        <w:contextualSpacing/>
      </w:pPr>
      <w:r>
        <w:t>At each element there are basic instructions on how to record that element and then any specific instructions that may be needed for a particular type of resource</w:t>
      </w:r>
    </w:p>
    <w:p w:rsidR="00AE743B" w:rsidRPr="002E269F" w:rsidRDefault="003D07DB" w:rsidP="002E269F">
      <w:pPr>
        <w:ind w:left="720"/>
        <w:contextualSpacing/>
      </w:pPr>
      <w:r>
        <w:t>For example: 2.3.2.11 – Recording devised titles</w:t>
      </w:r>
    </w:p>
    <w:p w:rsidR="001D792D" w:rsidRDefault="001D792D" w:rsidP="00BA34F0">
      <w:pPr>
        <w:contextualSpacing/>
        <w:rPr>
          <w:b/>
          <w:bCs/>
        </w:rPr>
      </w:pPr>
    </w:p>
    <w:p w:rsidR="00BA34F0" w:rsidRDefault="00E34E37" w:rsidP="001D792D">
      <w:pPr>
        <w:pStyle w:val="Heading4"/>
      </w:pPr>
      <w:r>
        <w:lastRenderedPageBreak/>
        <w:t>Content standard</w:t>
      </w:r>
    </w:p>
    <w:p w:rsidR="00E34E37" w:rsidRPr="00BA34F0" w:rsidRDefault="003D07DB" w:rsidP="00AE743B">
      <w:pPr>
        <w:numPr>
          <w:ilvl w:val="0"/>
          <w:numId w:val="20"/>
        </w:numPr>
        <w:contextualSpacing/>
        <w:rPr>
          <w:b/>
          <w:bCs/>
        </w:rPr>
      </w:pPr>
      <w:r>
        <w:t xml:space="preserve">AACR2 </w:t>
      </w:r>
      <w:r w:rsidR="004A12E4">
        <w:t>tells</w:t>
      </w:r>
      <w:r>
        <w:t xml:space="preserve"> us what to record, how to arrange the data and structure the record. </w:t>
      </w:r>
      <w:r w:rsidR="00351E16">
        <w:t xml:space="preserve">It begins with general instructions on the order of the catalogue description from ISBD and then instructions for each area (title, edition etc). It also </w:t>
      </w:r>
      <w:r w:rsidR="004A12E4">
        <w:t>gives</w:t>
      </w:r>
      <w:r w:rsidR="00351E16">
        <w:t xml:space="preserve"> guidance on conventions for indicating certain types of information such as using square brackets.</w:t>
      </w:r>
    </w:p>
    <w:p w:rsidR="00BA34F0" w:rsidRPr="00351E16" w:rsidRDefault="00BA34F0" w:rsidP="00BA34F0">
      <w:pPr>
        <w:ind w:left="720"/>
        <w:contextualSpacing/>
        <w:rPr>
          <w:b/>
          <w:bCs/>
        </w:rPr>
      </w:pPr>
    </w:p>
    <w:p w:rsidR="00016256" w:rsidRDefault="00016256" w:rsidP="00AE743B">
      <w:pPr>
        <w:numPr>
          <w:ilvl w:val="0"/>
          <w:numId w:val="21"/>
        </w:numPr>
        <w:contextualSpacing/>
      </w:pPr>
      <w:r>
        <w:t>RDA does not prescribe any of these things.  Have a look at chapter 2.0 – you will see there is nothing about punctuation or order of elements.  For those of us who use ISBD presentation it is included in an appendix</w:t>
      </w:r>
      <w:r w:rsidR="00A935DF">
        <w:t xml:space="preserve"> (See appendix D)</w:t>
      </w:r>
      <w:r>
        <w:t>.</w:t>
      </w:r>
    </w:p>
    <w:p w:rsidR="00BE67B8" w:rsidRDefault="00BE67B8" w:rsidP="00351E16">
      <w:pPr>
        <w:ind w:left="720"/>
        <w:contextualSpacing/>
      </w:pPr>
    </w:p>
    <w:p w:rsidR="00016256" w:rsidRDefault="00016256" w:rsidP="00AE743B">
      <w:pPr>
        <w:numPr>
          <w:ilvl w:val="0"/>
          <w:numId w:val="21"/>
        </w:numPr>
        <w:contextualSpacing/>
      </w:pPr>
      <w:r>
        <w:t xml:space="preserve">Even conventions of indicating cataloguer supplied information RDA </w:t>
      </w:r>
      <w:r w:rsidR="00BE67B8">
        <w:t xml:space="preserve">only </w:t>
      </w:r>
      <w:r>
        <w:t xml:space="preserve">gives </w:t>
      </w:r>
      <w:r w:rsidR="00BE67B8">
        <w:t>broad</w:t>
      </w:r>
      <w:r>
        <w:t xml:space="preserve"> guidance and does not stipulate how the indication is to be made.  </w:t>
      </w:r>
      <w:proofErr w:type="spellStart"/>
      <w:r>
        <w:t>Eg</w:t>
      </w:r>
      <w:proofErr w:type="spellEnd"/>
      <w:r>
        <w:t xml:space="preserve"> look at RDA 2.2.4 it doesn’t tell us that information from outside the preferred source must be enclosed in square brackets.  It says “indicate that f</w:t>
      </w:r>
      <w:r w:rsidR="00907095">
        <w:t xml:space="preserve">act either by means of a note or some other means” – </w:t>
      </w:r>
      <w:proofErr w:type="spellStart"/>
      <w:r w:rsidR="00907095">
        <w:t>ie</w:t>
      </w:r>
      <w:proofErr w:type="spellEnd"/>
      <w:r w:rsidR="00907095">
        <w:t>. Square brackets.</w:t>
      </w:r>
    </w:p>
    <w:p w:rsidR="00BE67B8" w:rsidRDefault="00BE67B8" w:rsidP="00351E16">
      <w:pPr>
        <w:ind w:left="720"/>
        <w:contextualSpacing/>
      </w:pPr>
    </w:p>
    <w:p w:rsidR="00657C09" w:rsidRDefault="00657C09" w:rsidP="00351E16">
      <w:pPr>
        <w:ind w:left="720"/>
        <w:contextualSpacing/>
      </w:pPr>
    </w:p>
    <w:p w:rsidR="00657C09" w:rsidRDefault="007A4128" w:rsidP="00351E16">
      <w:pPr>
        <w:ind w:left="720"/>
        <w:contextualSpacing/>
      </w:pPr>
      <w:r>
        <w:rPr>
          <w:noProof/>
          <w:lang w:val="en-US" w:eastAsia="zh-CN" w:bidi="th-TH"/>
        </w:rPr>
        <w:pict>
          <v:shape id="_x0000_s1056" type="#_x0000_t32" style="position:absolute;left:0;text-align:left;margin-left:11.3pt;margin-top:.3pt;width:437.1pt;height:0;z-index:251642880;mso-position-vertical:absolute" o:connectortype="straight" strokecolor="#5f497a [2407]" strokeweight="3pt">
            <v:shadow type="perspective" color="#3f3151" opacity=".5" offset="1pt" offset2="-1pt"/>
          </v:shape>
        </w:pict>
      </w:r>
    </w:p>
    <w:p w:rsidR="00131BB2" w:rsidRDefault="000809A2" w:rsidP="00BA34F0">
      <w:pPr>
        <w:contextualSpacing/>
      </w:pPr>
      <w:r>
        <w:rPr>
          <w:noProof/>
          <w:lang w:val="en-US" w:eastAsia="zh-CN" w:bidi="th-TH"/>
        </w:rPr>
        <w:drawing>
          <wp:anchor distT="0" distB="0" distL="114300" distR="114300" simplePos="0" relativeHeight="251676672" behindDoc="0" locked="0" layoutInCell="1" allowOverlap="1">
            <wp:simplePos x="0" y="0"/>
            <wp:positionH relativeFrom="column">
              <wp:posOffset>4124325</wp:posOffset>
            </wp:positionH>
            <wp:positionV relativeFrom="paragraph">
              <wp:posOffset>300990</wp:posOffset>
            </wp:positionV>
            <wp:extent cx="1619885" cy="1214755"/>
            <wp:effectExtent l="19050" t="19050" r="18415" b="23495"/>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cstate="print"/>
                    <a:srcRect/>
                    <a:stretch>
                      <a:fillRect/>
                    </a:stretch>
                  </pic:blipFill>
                  <pic:spPr bwMode="auto">
                    <a:xfrm>
                      <a:off x="0" y="0"/>
                      <a:ext cx="1619885" cy="1214755"/>
                    </a:xfrm>
                    <a:prstGeom prst="rect">
                      <a:avLst/>
                    </a:prstGeom>
                    <a:noFill/>
                    <a:ln w="12700">
                      <a:solidFill>
                        <a:srgbClr val="000000"/>
                      </a:solidFill>
                      <a:miter lim="800000"/>
                      <a:headEnd/>
                      <a:tailEnd/>
                    </a:ln>
                  </pic:spPr>
                </pic:pic>
              </a:graphicData>
            </a:graphic>
          </wp:anchor>
        </w:drawing>
      </w:r>
    </w:p>
    <w:p w:rsidR="00BA34F0" w:rsidRPr="00BA34F0" w:rsidRDefault="00D373C4" w:rsidP="001D792D">
      <w:pPr>
        <w:pStyle w:val="Heading4"/>
      </w:pPr>
      <w:r>
        <w:t>Terminology</w:t>
      </w:r>
    </w:p>
    <w:p w:rsidR="00D373C4" w:rsidRPr="00302EF0" w:rsidRDefault="00D373C4" w:rsidP="00D373C4">
      <w:pPr>
        <w:numPr>
          <w:ilvl w:val="0"/>
          <w:numId w:val="23"/>
        </w:numPr>
        <w:contextualSpacing/>
        <w:rPr>
          <w:b/>
          <w:bCs/>
        </w:rPr>
      </w:pPr>
      <w:r>
        <w:t>There is some different terminology in RDA from AACR2.  Much of this comes from FRBR and FRAD models.  To assist with the transition RDA has a full glossary of terms.  When terms from the Glossary are used in the text of RDA there is a hyperlink to the Glossary.  It’s probably a good idea to initially follow these links as a way of getting used to the terminology</w:t>
      </w:r>
    </w:p>
    <w:p w:rsidR="00BA34F0" w:rsidRPr="00BA34F0" w:rsidRDefault="00BA34F0" w:rsidP="00BA34F0">
      <w:pPr>
        <w:ind w:left="1440"/>
        <w:contextualSpacing/>
        <w:rPr>
          <w:b/>
          <w:bCs/>
        </w:rPr>
      </w:pPr>
    </w:p>
    <w:p w:rsidR="00D373C4" w:rsidRPr="00BA34F0" w:rsidRDefault="00BA34F0" w:rsidP="00BA34F0">
      <w:pPr>
        <w:numPr>
          <w:ilvl w:val="1"/>
          <w:numId w:val="23"/>
        </w:numPr>
        <w:contextualSpacing/>
        <w:rPr>
          <w:b/>
          <w:bCs/>
        </w:rPr>
      </w:pPr>
      <w:r>
        <w:t>There is a list of key terms in</w:t>
      </w:r>
      <w:r w:rsidRPr="00BA34F0">
        <w:t xml:space="preserve"> </w:t>
      </w:r>
      <w:r>
        <w:t>Appendix 2 of the  workbook</w:t>
      </w:r>
    </w:p>
    <w:p w:rsidR="00131BB2" w:rsidRDefault="00131BB2" w:rsidP="00D373C4">
      <w:pPr>
        <w:ind w:left="1080"/>
        <w:contextualSpacing/>
        <w:rPr>
          <w:b/>
          <w:bCs/>
        </w:rPr>
      </w:pPr>
    </w:p>
    <w:p w:rsidR="00D373C4" w:rsidRPr="00E213BE" w:rsidRDefault="00D373C4" w:rsidP="00D373C4">
      <w:pPr>
        <w:numPr>
          <w:ilvl w:val="0"/>
          <w:numId w:val="23"/>
        </w:numPr>
        <w:contextualSpacing/>
        <w:rPr>
          <w:b/>
          <w:bCs/>
        </w:rPr>
      </w:pPr>
      <w:r>
        <w:rPr>
          <w:b/>
          <w:bCs/>
        </w:rPr>
        <w:t>LC</w:t>
      </w:r>
      <w:r w:rsidR="00A720F3">
        <w:rPr>
          <w:b/>
          <w:bCs/>
        </w:rPr>
        <w:t xml:space="preserve">-PCC </w:t>
      </w:r>
      <w:r>
        <w:rPr>
          <w:b/>
          <w:bCs/>
        </w:rPr>
        <w:t>PS:</w:t>
      </w:r>
      <w:r>
        <w:t xml:space="preserve"> We have already seen the LC</w:t>
      </w:r>
      <w:r w:rsidR="00A720F3">
        <w:t xml:space="preserve">-PCC </w:t>
      </w:r>
      <w:r>
        <w:t>PS have been loaded into the Toolkit</w:t>
      </w:r>
    </w:p>
    <w:p w:rsidR="00D373C4" w:rsidRDefault="00D373C4" w:rsidP="00D373C4">
      <w:pPr>
        <w:ind w:left="360"/>
        <w:contextualSpacing/>
        <w:rPr>
          <w:b/>
          <w:bCs/>
        </w:rPr>
      </w:pPr>
    </w:p>
    <w:p w:rsidR="00D373C4" w:rsidRPr="00E213BE" w:rsidRDefault="00D373C4" w:rsidP="00D373C4">
      <w:pPr>
        <w:numPr>
          <w:ilvl w:val="0"/>
          <w:numId w:val="23"/>
        </w:numPr>
        <w:contextualSpacing/>
        <w:rPr>
          <w:b/>
          <w:bCs/>
        </w:rPr>
      </w:pPr>
      <w:r>
        <w:rPr>
          <w:b/>
          <w:bCs/>
        </w:rPr>
        <w:t>Online interactive tool</w:t>
      </w:r>
      <w:r>
        <w:t>: of course RDA is designed to be an online tool.  It is available in print but it is better to use online to make best use of all the features</w:t>
      </w:r>
    </w:p>
    <w:p w:rsidR="00D373C4" w:rsidRDefault="00D373C4" w:rsidP="00D373C4">
      <w:pPr>
        <w:contextualSpacing/>
        <w:rPr>
          <w:b/>
          <w:bCs/>
        </w:rPr>
      </w:pPr>
    </w:p>
    <w:p w:rsidR="00131BB2" w:rsidRDefault="00131BB2" w:rsidP="00131BB2">
      <w:pPr>
        <w:numPr>
          <w:ilvl w:val="0"/>
          <w:numId w:val="23"/>
        </w:numPr>
        <w:contextualSpacing/>
        <w:rPr>
          <w:b/>
          <w:bCs/>
        </w:rPr>
      </w:pPr>
      <w:r>
        <w:rPr>
          <w:b/>
          <w:bCs/>
        </w:rPr>
        <w:t>Core elements</w:t>
      </w:r>
      <w:r>
        <w:t>: With AACR2 we had three levels of de</w:t>
      </w:r>
      <w:r w:rsidR="00A720F3">
        <w:t>scription; RDA has core and non-</w:t>
      </w:r>
      <w:r>
        <w:t>core elements.  We saw some of them in our Toolkit exercise and we will look at them a bit more now.</w:t>
      </w:r>
    </w:p>
    <w:p w:rsidR="00131BB2" w:rsidRDefault="00131BB2" w:rsidP="00D373C4">
      <w:pPr>
        <w:contextualSpacing/>
        <w:rPr>
          <w:b/>
          <w:bCs/>
        </w:rPr>
      </w:pPr>
    </w:p>
    <w:p w:rsidR="00E14DB4" w:rsidRDefault="007A4128" w:rsidP="00351E16">
      <w:pPr>
        <w:ind w:left="720"/>
        <w:contextualSpacing/>
      </w:pPr>
      <w:r w:rsidRPr="007A4128">
        <w:rPr>
          <w:b/>
          <w:bCs/>
          <w:noProof/>
          <w:lang w:val="en-US" w:eastAsia="zh-CN" w:bidi="th-TH"/>
        </w:rPr>
        <w:pict>
          <v:shape id="_x0000_s1058" type="#_x0000_t32" style="position:absolute;left:0;text-align:left;margin-left:9.25pt;margin-top:10.45pt;width:437.1pt;height:0;z-index:251643904" o:connectortype="straight" strokecolor="#943634" strokeweight="3pt">
            <v:shadow type="perspective" color="#3f3151" opacity=".5" offset="1pt" offset2="-1pt"/>
          </v:shape>
        </w:pict>
      </w:r>
    </w:p>
    <w:p w:rsidR="00E14DB4" w:rsidRDefault="00E14DB4" w:rsidP="00351E16">
      <w:pPr>
        <w:ind w:left="720"/>
        <w:contextualSpacing/>
      </w:pPr>
    </w:p>
    <w:p w:rsidR="00BA34F0" w:rsidRDefault="00BA34F0" w:rsidP="00131BB2">
      <w:pPr>
        <w:contextualSpacing/>
        <w:rPr>
          <w:b/>
          <w:bCs/>
        </w:rPr>
      </w:pPr>
    </w:p>
    <w:p w:rsidR="00BA34F0" w:rsidRDefault="00BA34F0" w:rsidP="00131BB2">
      <w:pPr>
        <w:contextualSpacing/>
        <w:rPr>
          <w:b/>
          <w:bCs/>
        </w:rPr>
      </w:pPr>
    </w:p>
    <w:p w:rsidR="00BA34F0" w:rsidRDefault="00BA34F0" w:rsidP="00131BB2">
      <w:pPr>
        <w:contextualSpacing/>
        <w:rPr>
          <w:b/>
          <w:bCs/>
        </w:rPr>
      </w:pPr>
    </w:p>
    <w:p w:rsidR="00131BB2" w:rsidRDefault="000809A2" w:rsidP="001D792D">
      <w:pPr>
        <w:pStyle w:val="Heading4"/>
      </w:pPr>
      <w:r>
        <w:rPr>
          <w:noProof/>
          <w:lang w:val="en-US" w:eastAsia="zh-CN" w:bidi="th-TH"/>
        </w:rPr>
        <w:drawing>
          <wp:anchor distT="0" distB="0" distL="114300" distR="114300" simplePos="0" relativeHeight="251663360" behindDoc="0" locked="0" layoutInCell="1" allowOverlap="1">
            <wp:simplePos x="0" y="0"/>
            <wp:positionH relativeFrom="column">
              <wp:posOffset>3781425</wp:posOffset>
            </wp:positionH>
            <wp:positionV relativeFrom="paragraph">
              <wp:posOffset>163195</wp:posOffset>
            </wp:positionV>
            <wp:extent cx="1619885" cy="1219200"/>
            <wp:effectExtent l="19050" t="19050" r="18415" b="19050"/>
            <wp:wrapSquare wrapText="bothSides"/>
            <wp:docPr id="63" name="Picture 63"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yBitmap"/>
                    <pic:cNvPicPr>
                      <a:picLocks noChangeAspect="1" noChangeArrowheads="1"/>
                    </pic:cNvPicPr>
                  </pic:nvPicPr>
                  <pic:blipFill>
                    <a:blip r:embed="rId13" cstate="print"/>
                    <a:srcRect/>
                    <a:stretch>
                      <a:fillRect/>
                    </a:stretch>
                  </pic:blipFill>
                  <pic:spPr bwMode="auto">
                    <a:xfrm>
                      <a:off x="0" y="0"/>
                      <a:ext cx="1619885" cy="1219200"/>
                    </a:xfrm>
                    <a:prstGeom prst="rect">
                      <a:avLst/>
                    </a:prstGeom>
                    <a:noFill/>
                    <a:ln w="12700">
                      <a:solidFill>
                        <a:srgbClr val="000000"/>
                      </a:solidFill>
                      <a:miter lim="800000"/>
                      <a:headEnd/>
                      <a:tailEnd/>
                    </a:ln>
                  </pic:spPr>
                </pic:pic>
              </a:graphicData>
            </a:graphic>
          </wp:anchor>
        </w:drawing>
      </w:r>
      <w:r w:rsidR="00131BB2">
        <w:t>Core elements</w:t>
      </w:r>
    </w:p>
    <w:p w:rsidR="004F3F61" w:rsidRPr="00131BB2" w:rsidRDefault="004F3F61" w:rsidP="00131BB2">
      <w:pPr>
        <w:contextualSpacing/>
        <w:rPr>
          <w:b/>
          <w:bCs/>
        </w:rPr>
      </w:pPr>
    </w:p>
    <w:p w:rsidR="008C6147" w:rsidRDefault="004F3F61" w:rsidP="008C6147">
      <w:pPr>
        <w:contextualSpacing/>
        <w:rPr>
          <w:b/>
          <w:bCs/>
        </w:rPr>
      </w:pPr>
      <w:r>
        <w:t xml:space="preserve">In </w:t>
      </w:r>
      <w:r w:rsidRPr="004F3F61">
        <w:t>AACR2</w:t>
      </w:r>
      <w:r>
        <w:rPr>
          <w:b/>
          <w:bCs/>
        </w:rPr>
        <w:t xml:space="preserve"> </w:t>
      </w:r>
      <w:r>
        <w:t>we had</w:t>
      </w:r>
      <w:r>
        <w:rPr>
          <w:b/>
          <w:bCs/>
        </w:rPr>
        <w:t xml:space="preserve"> </w:t>
      </w:r>
      <w:r w:rsidR="008C6147" w:rsidRPr="008C6147">
        <w:rPr>
          <w:b/>
          <w:bCs/>
        </w:rPr>
        <w:t>Levels of description</w:t>
      </w:r>
    </w:p>
    <w:p w:rsidR="008C6147" w:rsidRDefault="004F3F61" w:rsidP="008C6147">
      <w:pPr>
        <w:contextualSpacing/>
        <w:rPr>
          <w:lang w:val="en-US"/>
        </w:rPr>
      </w:pPr>
      <w:r>
        <w:rPr>
          <w:lang w:val="en-US"/>
        </w:rPr>
        <w:t xml:space="preserve">The focus was on what goes in the </w:t>
      </w:r>
      <w:r>
        <w:rPr>
          <w:i/>
          <w:iCs/>
          <w:lang w:val="en-US"/>
        </w:rPr>
        <w:t xml:space="preserve">whole </w:t>
      </w:r>
      <w:r>
        <w:rPr>
          <w:lang w:val="en-US"/>
        </w:rPr>
        <w:t>record.</w:t>
      </w:r>
    </w:p>
    <w:p w:rsidR="004F3F61" w:rsidRPr="004F3F61" w:rsidRDefault="004F3F61" w:rsidP="008C6147">
      <w:pPr>
        <w:contextualSpacing/>
        <w:rPr>
          <w:lang w:val="en-US"/>
        </w:rPr>
      </w:pPr>
    </w:p>
    <w:p w:rsidR="008C6147" w:rsidRPr="008C6147" w:rsidRDefault="004F3F61" w:rsidP="008C6147">
      <w:pPr>
        <w:contextualSpacing/>
        <w:rPr>
          <w:lang w:val="en-US"/>
        </w:rPr>
      </w:pPr>
      <w:r>
        <w:t>In RDA t</w:t>
      </w:r>
      <w:r w:rsidR="008C6147" w:rsidRPr="008C6147">
        <w:t xml:space="preserve">he focus </w:t>
      </w:r>
      <w:r>
        <w:t xml:space="preserve">is </w:t>
      </w:r>
      <w:r w:rsidR="008C6147" w:rsidRPr="008C6147">
        <w:t xml:space="preserve">on </w:t>
      </w:r>
      <w:r w:rsidR="008C6147" w:rsidRPr="004F3F61">
        <w:rPr>
          <w:i/>
          <w:iCs/>
        </w:rPr>
        <w:t>data elements</w:t>
      </w:r>
      <w:r w:rsidR="008C6147" w:rsidRPr="008C6147">
        <w:t xml:space="preserve"> rather than whole catalogue records</w:t>
      </w:r>
      <w:r>
        <w:t xml:space="preserve"> so </w:t>
      </w:r>
      <w:r w:rsidR="008C6147" w:rsidRPr="008C6147">
        <w:t>means a change in the way we thin</w:t>
      </w:r>
      <w:r>
        <w:t>k about levels of cataloguing.  RDA does not have levels of description...</w:t>
      </w:r>
    </w:p>
    <w:p w:rsidR="00131BB2" w:rsidRDefault="00131BB2" w:rsidP="00351E16">
      <w:pPr>
        <w:ind w:left="720"/>
        <w:contextualSpacing/>
      </w:pPr>
    </w:p>
    <w:p w:rsidR="00240F40" w:rsidRDefault="00240F40" w:rsidP="00351E16">
      <w:pPr>
        <w:ind w:left="720"/>
        <w:contextualSpacing/>
      </w:pPr>
    </w:p>
    <w:p w:rsidR="00240F40" w:rsidRDefault="007A4128" w:rsidP="00351E16">
      <w:pPr>
        <w:ind w:left="720"/>
        <w:contextualSpacing/>
      </w:pPr>
      <w:r>
        <w:rPr>
          <w:noProof/>
          <w:lang w:val="en-US" w:eastAsia="zh-CN" w:bidi="th-TH"/>
        </w:rPr>
        <w:pict>
          <v:shape id="_x0000_s1068" type="#_x0000_t32" style="position:absolute;left:0;text-align:left;margin-left:9.25pt;margin-top:4.8pt;width:437.1pt;height:0;z-index:251649024" o:connectortype="straight" strokecolor="#5f497a [2407]" strokeweight="3pt">
            <v:shadow type="perspective" color="#3f3151" opacity=".5" offset="1pt" offset2="-1pt"/>
          </v:shape>
        </w:pict>
      </w:r>
    </w:p>
    <w:p w:rsidR="008C6147" w:rsidRPr="004F3F61" w:rsidRDefault="008C6147" w:rsidP="008C6147">
      <w:pPr>
        <w:contextualSpacing/>
        <w:rPr>
          <w:lang w:val="en-US"/>
        </w:rPr>
      </w:pPr>
    </w:p>
    <w:p w:rsidR="008C6147" w:rsidRPr="008C6147" w:rsidRDefault="008C6147" w:rsidP="008C6147">
      <w:pPr>
        <w:contextualSpacing/>
        <w:rPr>
          <w:lang w:val="en-US"/>
        </w:rPr>
      </w:pPr>
      <w:r w:rsidRPr="008C6147">
        <w:t xml:space="preserve">...RDA has </w:t>
      </w:r>
      <w:r w:rsidRPr="008C6147">
        <w:rPr>
          <w:b/>
          <w:bCs/>
        </w:rPr>
        <w:t>core and non-core elements</w:t>
      </w:r>
      <w:r w:rsidRPr="008C6147">
        <w:t xml:space="preserve">. </w:t>
      </w:r>
    </w:p>
    <w:p w:rsidR="008C6147" w:rsidRPr="008C6147" w:rsidRDefault="000809A2" w:rsidP="008C6147">
      <w:pPr>
        <w:ind w:left="720"/>
        <w:contextualSpacing/>
        <w:rPr>
          <w:lang w:val="en-US"/>
        </w:rPr>
      </w:pPr>
      <w:r>
        <w:rPr>
          <w:noProof/>
          <w:lang w:val="en-US" w:eastAsia="zh-CN" w:bidi="th-TH"/>
        </w:rPr>
        <w:drawing>
          <wp:anchor distT="0" distB="0" distL="114300" distR="114300" simplePos="0" relativeHeight="251664384" behindDoc="0" locked="0" layoutInCell="1" allowOverlap="1">
            <wp:simplePos x="0" y="0"/>
            <wp:positionH relativeFrom="column">
              <wp:posOffset>3781425</wp:posOffset>
            </wp:positionH>
            <wp:positionV relativeFrom="paragraph">
              <wp:posOffset>-635</wp:posOffset>
            </wp:positionV>
            <wp:extent cx="1619885" cy="1192530"/>
            <wp:effectExtent l="19050" t="19050" r="18415" b="26670"/>
            <wp:wrapSquare wrapText="bothSides"/>
            <wp:docPr id="64" name="Picture 64"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yBitmap"/>
                    <pic:cNvPicPr>
                      <a:picLocks noChangeAspect="1" noChangeArrowheads="1"/>
                    </pic:cNvPicPr>
                  </pic:nvPicPr>
                  <pic:blipFill>
                    <a:blip r:embed="rId14" cstate="print"/>
                    <a:srcRect/>
                    <a:stretch>
                      <a:fillRect/>
                    </a:stretch>
                  </pic:blipFill>
                  <pic:spPr bwMode="auto">
                    <a:xfrm>
                      <a:off x="0" y="0"/>
                      <a:ext cx="1619885" cy="1192530"/>
                    </a:xfrm>
                    <a:prstGeom prst="rect">
                      <a:avLst/>
                    </a:prstGeom>
                    <a:noFill/>
                    <a:ln w="12700">
                      <a:solidFill>
                        <a:srgbClr val="000000"/>
                      </a:solidFill>
                      <a:miter lim="800000"/>
                      <a:headEnd/>
                      <a:tailEnd/>
                    </a:ln>
                  </pic:spPr>
                </pic:pic>
              </a:graphicData>
            </a:graphic>
          </wp:anchor>
        </w:drawing>
      </w:r>
      <w:r w:rsidR="008C6147" w:rsidRPr="008C6147">
        <w:t> </w:t>
      </w:r>
    </w:p>
    <w:p w:rsidR="008C6147" w:rsidRPr="008C6147" w:rsidRDefault="008C6147" w:rsidP="008C6147">
      <w:pPr>
        <w:contextualSpacing/>
        <w:rPr>
          <w:lang w:val="en-US"/>
        </w:rPr>
      </w:pPr>
      <w:r w:rsidRPr="008C6147">
        <w:t xml:space="preserve">The core elements are those elements that RDA considers to be “core”, in order to fulfil the most basic of the user tasks defined in FRBR. RDA states that “as a minimum” a resource description should contain all the </w:t>
      </w:r>
      <w:r w:rsidRPr="008C6147">
        <w:rPr>
          <w:b/>
          <w:bCs/>
        </w:rPr>
        <w:t xml:space="preserve">Core elements </w:t>
      </w:r>
      <w:r w:rsidRPr="008C6147">
        <w:t xml:space="preserve">that are applicable to that resource or entity and readily ascertainable.  Other, </w:t>
      </w:r>
      <w:r w:rsidRPr="008C6147">
        <w:rPr>
          <w:b/>
          <w:bCs/>
        </w:rPr>
        <w:t>non-core</w:t>
      </w:r>
      <w:r w:rsidRPr="008C6147">
        <w:t xml:space="preserve"> elements can be added if they are required in particular situations to assist in performing the basic user tasks.</w:t>
      </w:r>
    </w:p>
    <w:p w:rsidR="00240F40" w:rsidRDefault="00240F40" w:rsidP="00351E16">
      <w:pPr>
        <w:ind w:left="720"/>
        <w:contextualSpacing/>
      </w:pPr>
    </w:p>
    <w:p w:rsidR="008C6147" w:rsidRDefault="008C6147" w:rsidP="00351E16">
      <w:pPr>
        <w:ind w:left="720"/>
        <w:contextualSpacing/>
      </w:pPr>
    </w:p>
    <w:p w:rsidR="008C6147" w:rsidRDefault="007A4128" w:rsidP="00351E16">
      <w:pPr>
        <w:ind w:left="720"/>
        <w:contextualSpacing/>
      </w:pPr>
      <w:r>
        <w:rPr>
          <w:noProof/>
          <w:lang w:val="en-US" w:eastAsia="zh-CN" w:bidi="th-TH"/>
        </w:rPr>
        <w:pict>
          <v:shape id="_x0000_s1070" type="#_x0000_t32" style="position:absolute;left:0;text-align:left;margin-left:9.25pt;margin-top:2.6pt;width:437.1pt;height:0;z-index:251650048" o:connectortype="straight" strokecolor="#5f497a [2407]" strokeweight="3pt">
            <v:shadow type="perspective" color="#3f3151" opacity=".5" offset="1pt" offset2="-1pt"/>
          </v:shape>
        </w:pict>
      </w:r>
    </w:p>
    <w:p w:rsidR="008C6147" w:rsidRDefault="004F3F61" w:rsidP="002E269F">
      <w:pPr>
        <w:ind w:left="720"/>
        <w:contextualSpacing/>
      </w:pPr>
      <w:r w:rsidRPr="004F3F61">
        <w:t xml:space="preserve"> </w:t>
      </w:r>
    </w:p>
    <w:p w:rsidR="008C6147" w:rsidRDefault="008C6147" w:rsidP="002E269F">
      <w:pPr>
        <w:contextualSpacing/>
      </w:pPr>
      <w:r w:rsidRPr="008C6147">
        <w:rPr>
          <w:b/>
          <w:bCs/>
        </w:rPr>
        <w:t>How do I know which elements are core</w:t>
      </w:r>
      <w:r>
        <w:t>:</w:t>
      </w:r>
    </w:p>
    <w:p w:rsidR="008C6147" w:rsidRPr="008C6147" w:rsidRDefault="001D792D" w:rsidP="008C6147">
      <w:pPr>
        <w:ind w:left="720"/>
        <w:contextualSpacing/>
        <w:rPr>
          <w:lang w:val="en-US"/>
        </w:rPr>
      </w:pPr>
      <w:r>
        <w:rPr>
          <w:noProof/>
          <w:lang w:val="en-US" w:eastAsia="zh-CN" w:bidi="th-TH"/>
        </w:rPr>
        <w:drawing>
          <wp:anchor distT="0" distB="0" distL="114300" distR="114300" simplePos="0" relativeHeight="251665408" behindDoc="0" locked="0" layoutInCell="1" allowOverlap="1">
            <wp:simplePos x="0" y="0"/>
            <wp:positionH relativeFrom="column">
              <wp:posOffset>3781425</wp:posOffset>
            </wp:positionH>
            <wp:positionV relativeFrom="paragraph">
              <wp:posOffset>3175</wp:posOffset>
            </wp:positionV>
            <wp:extent cx="1619885" cy="1231900"/>
            <wp:effectExtent l="19050" t="19050" r="18415" b="25400"/>
            <wp:wrapSquare wrapText="bothSides"/>
            <wp:docPr id="65" name="Picture 65"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yBitmap"/>
                    <pic:cNvPicPr>
                      <a:picLocks noChangeAspect="1" noChangeArrowheads="1"/>
                    </pic:cNvPicPr>
                  </pic:nvPicPr>
                  <pic:blipFill>
                    <a:blip r:embed="rId15" cstate="print"/>
                    <a:srcRect/>
                    <a:stretch>
                      <a:fillRect/>
                    </a:stretch>
                  </pic:blipFill>
                  <pic:spPr bwMode="auto">
                    <a:xfrm>
                      <a:off x="0" y="0"/>
                      <a:ext cx="1619885" cy="1231900"/>
                    </a:xfrm>
                    <a:prstGeom prst="rect">
                      <a:avLst/>
                    </a:prstGeom>
                    <a:noFill/>
                    <a:ln w="12700">
                      <a:solidFill>
                        <a:srgbClr val="000000"/>
                      </a:solidFill>
                      <a:miter lim="800000"/>
                      <a:headEnd/>
                      <a:tailEnd/>
                    </a:ln>
                  </pic:spPr>
                </pic:pic>
              </a:graphicData>
            </a:graphic>
          </wp:anchor>
        </w:drawing>
      </w:r>
    </w:p>
    <w:p w:rsidR="008C6147" w:rsidRPr="008C6147" w:rsidRDefault="008C6147" w:rsidP="002E269F">
      <w:pPr>
        <w:contextualSpacing/>
        <w:rPr>
          <w:lang w:val="en-US"/>
        </w:rPr>
      </w:pPr>
      <w:r w:rsidRPr="008C6147">
        <w:t>There are several places in RDA where you can find information about which elements are core.</w:t>
      </w:r>
    </w:p>
    <w:p w:rsidR="008C6147" w:rsidRPr="008C6147" w:rsidRDefault="008C6147" w:rsidP="008C6147">
      <w:pPr>
        <w:ind w:left="720"/>
        <w:contextualSpacing/>
        <w:rPr>
          <w:lang w:val="en-US"/>
        </w:rPr>
      </w:pPr>
      <w:r w:rsidRPr="008C6147">
        <w:t> </w:t>
      </w:r>
    </w:p>
    <w:p w:rsidR="008C6147" w:rsidRPr="008C6147" w:rsidRDefault="008C6147" w:rsidP="002E269F">
      <w:pPr>
        <w:numPr>
          <w:ilvl w:val="0"/>
          <w:numId w:val="23"/>
        </w:numPr>
        <w:contextualSpacing/>
        <w:rPr>
          <w:lang w:val="en-US"/>
        </w:rPr>
      </w:pPr>
      <w:r w:rsidRPr="002E269F">
        <w:t>Firstly</w:t>
      </w:r>
      <w:r w:rsidRPr="008C6147">
        <w:t xml:space="preserve">, core elements and their application are explained in </w:t>
      </w:r>
      <w:r w:rsidRPr="008C6147">
        <w:rPr>
          <w:b/>
          <w:bCs/>
        </w:rPr>
        <w:t xml:space="preserve">RDA Section 0.6. </w:t>
      </w:r>
      <w:r w:rsidRPr="008C6147">
        <w:t>Let’s go there now and have a look and some of the key things it says.</w:t>
      </w:r>
    </w:p>
    <w:p w:rsidR="008C6147" w:rsidRPr="008C6147" w:rsidRDefault="008C6147" w:rsidP="008C6147">
      <w:pPr>
        <w:ind w:left="720"/>
        <w:contextualSpacing/>
        <w:rPr>
          <w:lang w:val="en-US"/>
        </w:rPr>
      </w:pPr>
      <w:r w:rsidRPr="008C6147">
        <w:t> </w:t>
      </w:r>
    </w:p>
    <w:p w:rsidR="008C6147" w:rsidRDefault="008C6147" w:rsidP="008C6147">
      <w:pPr>
        <w:numPr>
          <w:ilvl w:val="1"/>
          <w:numId w:val="21"/>
        </w:numPr>
        <w:contextualSpacing/>
      </w:pPr>
      <w:r w:rsidRPr="008C6147">
        <w:rPr>
          <w:b/>
          <w:bCs/>
        </w:rPr>
        <w:t xml:space="preserve">0.6.1 </w:t>
      </w:r>
      <w:r w:rsidRPr="008C6147">
        <w:t>outlines the basic FRBR user tasks that the core elements meet</w:t>
      </w:r>
    </w:p>
    <w:p w:rsidR="008C6147" w:rsidRPr="008C6147" w:rsidRDefault="008C6147" w:rsidP="008C6147">
      <w:pPr>
        <w:ind w:left="720"/>
        <w:contextualSpacing/>
        <w:rPr>
          <w:lang w:val="en-US"/>
        </w:rPr>
      </w:pPr>
    </w:p>
    <w:p w:rsidR="008C6147" w:rsidRPr="002E269F" w:rsidRDefault="008C6147" w:rsidP="008C6147">
      <w:pPr>
        <w:numPr>
          <w:ilvl w:val="1"/>
          <w:numId w:val="21"/>
        </w:numPr>
        <w:contextualSpacing/>
        <w:rPr>
          <w:lang w:val="en-US"/>
        </w:rPr>
      </w:pPr>
      <w:r w:rsidRPr="008C6147">
        <w:rPr>
          <w:b/>
          <w:bCs/>
        </w:rPr>
        <w:t xml:space="preserve">0.6.2 - 0.6.9 </w:t>
      </w:r>
      <w:r w:rsidRPr="008C6147">
        <w:t>list</w:t>
      </w:r>
      <w:r w:rsidR="002E269F">
        <w:t>s</w:t>
      </w:r>
      <w:r w:rsidRPr="008C6147">
        <w:t xml:space="preserve"> the core elements in each section of the Standard. [look at what some of </w:t>
      </w:r>
      <w:r w:rsidR="002E269F">
        <w:t>these</w:t>
      </w:r>
      <w:r w:rsidRPr="008C6147">
        <w:t>]</w:t>
      </w:r>
    </w:p>
    <w:p w:rsidR="002E269F" w:rsidRDefault="002E269F" w:rsidP="002E269F">
      <w:pPr>
        <w:pStyle w:val="ListParagraph"/>
        <w:rPr>
          <w:lang w:val="en-US"/>
        </w:rPr>
      </w:pPr>
    </w:p>
    <w:p w:rsidR="008C6147" w:rsidRPr="008C6147" w:rsidRDefault="008C6147" w:rsidP="002E269F">
      <w:pPr>
        <w:contextualSpacing/>
        <w:rPr>
          <w:lang w:val="en-US"/>
        </w:rPr>
      </w:pPr>
    </w:p>
    <w:p w:rsidR="008C6147" w:rsidRPr="008C6147" w:rsidRDefault="008C6147" w:rsidP="002E269F">
      <w:pPr>
        <w:numPr>
          <w:ilvl w:val="0"/>
          <w:numId w:val="23"/>
        </w:numPr>
        <w:contextualSpacing/>
        <w:rPr>
          <w:lang w:val="en-US"/>
        </w:rPr>
      </w:pPr>
      <w:r w:rsidRPr="008C6147">
        <w:lastRenderedPageBreak/>
        <w:t>Secondly, the “General guidelines” chapter in each Section of RDA sets out the Core or conditionally core elements for that section.  Let’s have a look at the following examples in the Toolkit:</w:t>
      </w:r>
    </w:p>
    <w:p w:rsidR="008C6147" w:rsidRPr="008C6147" w:rsidRDefault="008C6147" w:rsidP="008C6147">
      <w:pPr>
        <w:ind w:left="720"/>
        <w:contextualSpacing/>
        <w:rPr>
          <w:lang w:val="en-US"/>
        </w:rPr>
      </w:pPr>
      <w:r w:rsidRPr="008C6147">
        <w:t> </w:t>
      </w:r>
    </w:p>
    <w:p w:rsidR="002E269F" w:rsidRDefault="008C6147" w:rsidP="008C6147">
      <w:pPr>
        <w:ind w:left="720"/>
        <w:contextualSpacing/>
      </w:pPr>
      <w:r w:rsidRPr="008C6147">
        <w:t>Se</w:t>
      </w:r>
      <w:r w:rsidR="002E269F">
        <w:t>ction 1: 1.3 Core elements, and;</w:t>
      </w:r>
      <w:r w:rsidRPr="008C6147">
        <w:t xml:space="preserve"> </w:t>
      </w:r>
    </w:p>
    <w:p w:rsidR="008C6147" w:rsidRPr="008C6147" w:rsidRDefault="008C6147" w:rsidP="008C6147">
      <w:pPr>
        <w:ind w:left="720"/>
        <w:contextualSpacing/>
        <w:rPr>
          <w:lang w:val="en-US"/>
        </w:rPr>
      </w:pPr>
      <w:r w:rsidRPr="008C6147">
        <w:t>Section 2: 5.3 Core elements</w:t>
      </w:r>
    </w:p>
    <w:p w:rsidR="002E269F" w:rsidRDefault="002E269F" w:rsidP="008C6147">
      <w:pPr>
        <w:ind w:left="720"/>
        <w:contextualSpacing/>
      </w:pPr>
    </w:p>
    <w:p w:rsidR="008C6147" w:rsidRPr="008C6147" w:rsidRDefault="008C6147" w:rsidP="008C6147">
      <w:pPr>
        <w:ind w:left="720"/>
        <w:contextualSpacing/>
        <w:rPr>
          <w:lang w:val="en-US"/>
        </w:rPr>
      </w:pPr>
      <w:r w:rsidRPr="008C6147">
        <w:t>Note that the position within the General guidelines chapter</w:t>
      </w:r>
      <w:r w:rsidR="00A720F3">
        <w:t>s</w:t>
      </w:r>
      <w:r w:rsidRPr="008C6147">
        <w:t>, “.3”, is the same throughout.</w:t>
      </w:r>
    </w:p>
    <w:p w:rsidR="008C6147" w:rsidRPr="008C6147" w:rsidRDefault="008C6147" w:rsidP="008C6147">
      <w:pPr>
        <w:ind w:left="720"/>
        <w:contextualSpacing/>
        <w:rPr>
          <w:lang w:val="en-US"/>
        </w:rPr>
      </w:pPr>
      <w:r w:rsidRPr="008C6147">
        <w:t> </w:t>
      </w:r>
    </w:p>
    <w:p w:rsidR="008C6147" w:rsidRPr="008C6147" w:rsidRDefault="008C6147" w:rsidP="002E269F">
      <w:pPr>
        <w:numPr>
          <w:ilvl w:val="0"/>
          <w:numId w:val="23"/>
        </w:numPr>
        <w:contextualSpacing/>
        <w:rPr>
          <w:lang w:val="en-US"/>
        </w:rPr>
      </w:pPr>
      <w:r w:rsidRPr="008C6147">
        <w:t xml:space="preserve">And lastly, when using the instructions themselves, each element that is </w:t>
      </w:r>
      <w:r w:rsidRPr="008C6147">
        <w:rPr>
          <w:b/>
          <w:bCs/>
        </w:rPr>
        <w:t>Core</w:t>
      </w:r>
      <w:r w:rsidRPr="008C6147">
        <w:t xml:space="preserve"> or </w:t>
      </w:r>
      <w:r w:rsidRPr="008C6147">
        <w:rPr>
          <w:b/>
          <w:bCs/>
        </w:rPr>
        <w:t>conditionally core</w:t>
      </w:r>
      <w:r w:rsidRPr="008C6147">
        <w:t xml:space="preserve"> is marked as such.  Any conditions attached to the </w:t>
      </w:r>
      <w:r w:rsidRPr="008C6147">
        <w:rPr>
          <w:b/>
          <w:bCs/>
        </w:rPr>
        <w:t xml:space="preserve">core </w:t>
      </w:r>
      <w:r w:rsidRPr="008C6147">
        <w:t>status are clearly outlined. Let’s have a look at some examples:</w:t>
      </w:r>
    </w:p>
    <w:p w:rsidR="008C6147" w:rsidRPr="008C6147" w:rsidRDefault="008C6147" w:rsidP="008C6147">
      <w:pPr>
        <w:ind w:left="720"/>
        <w:contextualSpacing/>
        <w:rPr>
          <w:lang w:val="en-US"/>
        </w:rPr>
      </w:pPr>
      <w:r w:rsidRPr="008C6147">
        <w:t> </w:t>
      </w:r>
    </w:p>
    <w:p w:rsidR="008C6147" w:rsidRDefault="008C6147" w:rsidP="008C6147">
      <w:pPr>
        <w:ind w:left="720"/>
        <w:contextualSpacing/>
      </w:pPr>
      <w:r w:rsidRPr="008C6147">
        <w:t>3.3 Carrier type – core element</w:t>
      </w:r>
    </w:p>
    <w:p w:rsidR="00B60D83" w:rsidRPr="008C6147" w:rsidRDefault="00B60D83" w:rsidP="008C6147">
      <w:pPr>
        <w:ind w:left="720"/>
        <w:contextualSpacing/>
        <w:rPr>
          <w:lang w:val="en-US"/>
        </w:rPr>
      </w:pPr>
    </w:p>
    <w:p w:rsidR="008C6147" w:rsidRDefault="008C6147" w:rsidP="008C6147">
      <w:pPr>
        <w:ind w:left="720"/>
        <w:contextualSpacing/>
      </w:pPr>
      <w:r w:rsidRPr="008C6147">
        <w:t>2.4 Statement of responsibility – conditionally core.</w:t>
      </w:r>
      <w:r w:rsidR="00B60D83">
        <w:t xml:space="preserve"> </w:t>
      </w:r>
    </w:p>
    <w:p w:rsidR="00B60D83" w:rsidRPr="008C6147" w:rsidRDefault="00B60D83" w:rsidP="008C6147">
      <w:pPr>
        <w:ind w:left="720"/>
        <w:contextualSpacing/>
        <w:rPr>
          <w:lang w:val="en-US"/>
        </w:rPr>
      </w:pPr>
      <w:r>
        <w:t>NOTE: the term “conditionally core” does not appear in the Toolkit, it is a way of describing those core elements that are core in certain circumstances</w:t>
      </w:r>
    </w:p>
    <w:p w:rsidR="008C6147" w:rsidRDefault="008C6147" w:rsidP="00351E16">
      <w:pPr>
        <w:ind w:left="720"/>
        <w:contextualSpacing/>
      </w:pPr>
    </w:p>
    <w:p w:rsidR="002F74DE" w:rsidRDefault="002F74DE" w:rsidP="00351E16">
      <w:pPr>
        <w:ind w:left="720"/>
        <w:contextualSpacing/>
      </w:pPr>
    </w:p>
    <w:p w:rsidR="002F74DE" w:rsidRDefault="007A4128" w:rsidP="00351E16">
      <w:pPr>
        <w:ind w:left="720"/>
        <w:contextualSpacing/>
      </w:pPr>
      <w:r>
        <w:rPr>
          <w:noProof/>
          <w:lang w:val="en-US" w:eastAsia="zh-CN" w:bidi="th-TH"/>
        </w:rPr>
        <w:pict>
          <v:shape id="_x0000_s1073" type="#_x0000_t32" style="position:absolute;left:0;text-align:left;margin-left:9.25pt;margin-top:8.95pt;width:437.1pt;height:0;z-index:251651072" o:connectortype="straight" strokecolor="#5f497a [2407]" strokeweight="3pt">
            <v:shadow type="perspective" color="#3f3151" opacity=".5" offset="1pt" offset2="-1pt"/>
          </v:shape>
        </w:pict>
      </w:r>
    </w:p>
    <w:p w:rsidR="002F74DE" w:rsidRDefault="002F74DE" w:rsidP="00351E16">
      <w:pPr>
        <w:ind w:left="720"/>
        <w:contextualSpacing/>
      </w:pPr>
    </w:p>
    <w:p w:rsidR="008C6147" w:rsidRDefault="000809A2" w:rsidP="00351E16">
      <w:pPr>
        <w:ind w:left="720"/>
        <w:contextualSpacing/>
      </w:pPr>
      <w:r>
        <w:rPr>
          <w:noProof/>
          <w:lang w:val="en-US" w:eastAsia="zh-CN" w:bidi="th-TH"/>
        </w:rPr>
        <w:drawing>
          <wp:anchor distT="0" distB="0" distL="114300" distR="114300" simplePos="0" relativeHeight="251666432" behindDoc="0" locked="0" layoutInCell="1" allowOverlap="1">
            <wp:simplePos x="0" y="0"/>
            <wp:positionH relativeFrom="column">
              <wp:posOffset>3911600</wp:posOffset>
            </wp:positionH>
            <wp:positionV relativeFrom="paragraph">
              <wp:posOffset>144780</wp:posOffset>
            </wp:positionV>
            <wp:extent cx="1624965" cy="1214755"/>
            <wp:effectExtent l="19050" t="19050" r="13335" b="23495"/>
            <wp:wrapSquare wrapText="bothSides"/>
            <wp:docPr id="66" name="Picture 66"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yBitmap"/>
                    <pic:cNvPicPr>
                      <a:picLocks noChangeAspect="1" noChangeArrowheads="1"/>
                    </pic:cNvPicPr>
                  </pic:nvPicPr>
                  <pic:blipFill>
                    <a:blip r:embed="rId16" cstate="print"/>
                    <a:srcRect/>
                    <a:stretch>
                      <a:fillRect/>
                    </a:stretch>
                  </pic:blipFill>
                  <pic:spPr bwMode="auto">
                    <a:xfrm>
                      <a:off x="0" y="0"/>
                      <a:ext cx="1624965" cy="1214755"/>
                    </a:xfrm>
                    <a:prstGeom prst="rect">
                      <a:avLst/>
                    </a:prstGeom>
                    <a:noFill/>
                    <a:ln w="12700">
                      <a:solidFill>
                        <a:srgbClr val="000000"/>
                      </a:solidFill>
                      <a:miter lim="800000"/>
                      <a:headEnd/>
                      <a:tailEnd/>
                    </a:ln>
                  </pic:spPr>
                </pic:pic>
              </a:graphicData>
            </a:graphic>
          </wp:anchor>
        </w:drawing>
      </w:r>
    </w:p>
    <w:p w:rsidR="002F74DE" w:rsidRDefault="002F74DE" w:rsidP="002F74DE">
      <w:pPr>
        <w:contextualSpacing/>
      </w:pPr>
      <w:r w:rsidRPr="002F74DE">
        <w:t xml:space="preserve">Many elements are only </w:t>
      </w:r>
      <w:r w:rsidRPr="002F74DE">
        <w:rPr>
          <w:b/>
          <w:bCs/>
          <w:i/>
          <w:iCs/>
        </w:rPr>
        <w:t>conditionally</w:t>
      </w:r>
      <w:r w:rsidRPr="002F74DE">
        <w:rPr>
          <w:i/>
          <w:iCs/>
        </w:rPr>
        <w:t xml:space="preserve"> </w:t>
      </w:r>
      <w:r w:rsidRPr="002F74DE">
        <w:rPr>
          <w:b/>
          <w:bCs/>
        </w:rPr>
        <w:t>core.</w:t>
      </w:r>
      <w:r w:rsidRPr="002F74DE">
        <w:t xml:space="preserve"> This means that they are only core in certain circumstances, such as:</w:t>
      </w:r>
    </w:p>
    <w:p w:rsidR="002E269F" w:rsidRPr="002F74DE" w:rsidRDefault="002E269F" w:rsidP="002F74DE">
      <w:pPr>
        <w:contextualSpacing/>
        <w:rPr>
          <w:lang w:val="en-US"/>
        </w:rPr>
      </w:pPr>
    </w:p>
    <w:p w:rsidR="002F74DE" w:rsidRPr="002F74DE" w:rsidRDefault="002F74DE" w:rsidP="002F74DE">
      <w:pPr>
        <w:numPr>
          <w:ilvl w:val="0"/>
          <w:numId w:val="26"/>
        </w:numPr>
        <w:contextualSpacing/>
        <w:rPr>
          <w:lang w:val="en-US"/>
        </w:rPr>
      </w:pPr>
      <w:r w:rsidRPr="002F74DE">
        <w:t>Some elements are only core for certain type of resources or entities</w:t>
      </w:r>
    </w:p>
    <w:p w:rsidR="002F74DE" w:rsidRPr="002F74DE" w:rsidRDefault="002F74DE" w:rsidP="002F74DE">
      <w:pPr>
        <w:ind w:left="720"/>
        <w:contextualSpacing/>
        <w:rPr>
          <w:lang w:val="en-US"/>
        </w:rPr>
      </w:pPr>
    </w:p>
    <w:p w:rsidR="002F74DE" w:rsidRPr="002F74DE" w:rsidRDefault="002F74DE" w:rsidP="002F74DE">
      <w:pPr>
        <w:numPr>
          <w:ilvl w:val="0"/>
          <w:numId w:val="26"/>
        </w:numPr>
        <w:contextualSpacing/>
        <w:rPr>
          <w:lang w:val="en-US"/>
        </w:rPr>
      </w:pPr>
      <w:r w:rsidRPr="002F74DE">
        <w:t>Some elements are only core if other related core elements are not available (</w:t>
      </w:r>
      <w:proofErr w:type="spellStart"/>
      <w:r w:rsidRPr="002F74DE">
        <w:t>eg</w:t>
      </w:r>
      <w:proofErr w:type="spellEnd"/>
      <w:r w:rsidRPr="002F74DE">
        <w:t>. Date of copyright is only core if there is no date of Publication)</w:t>
      </w:r>
    </w:p>
    <w:p w:rsidR="002F74DE" w:rsidRPr="002F74DE" w:rsidRDefault="002F74DE" w:rsidP="002F74DE">
      <w:pPr>
        <w:contextualSpacing/>
        <w:rPr>
          <w:lang w:val="en-US"/>
        </w:rPr>
      </w:pPr>
    </w:p>
    <w:p w:rsidR="002F74DE" w:rsidRPr="002F74DE" w:rsidRDefault="002F74DE" w:rsidP="002F74DE">
      <w:pPr>
        <w:numPr>
          <w:ilvl w:val="0"/>
          <w:numId w:val="26"/>
        </w:numPr>
        <w:contextualSpacing/>
        <w:rPr>
          <w:lang w:val="en-US"/>
        </w:rPr>
      </w:pPr>
      <w:r w:rsidRPr="002F74DE">
        <w:t>If there are multiple instances of a core element, usually only the first instance is core (</w:t>
      </w:r>
      <w:proofErr w:type="spellStart"/>
      <w:r w:rsidRPr="002F74DE">
        <w:t>eg</w:t>
      </w:r>
      <w:proofErr w:type="spellEnd"/>
      <w:r w:rsidRPr="002F74DE">
        <w:t>, if there are multiple statements of responsibility)</w:t>
      </w:r>
    </w:p>
    <w:p w:rsidR="002F74DE" w:rsidRPr="002F74DE" w:rsidRDefault="002F74DE" w:rsidP="002F74DE">
      <w:pPr>
        <w:contextualSpacing/>
        <w:rPr>
          <w:lang w:val="en-US"/>
        </w:rPr>
      </w:pPr>
    </w:p>
    <w:p w:rsidR="002F74DE" w:rsidRPr="002F74DE" w:rsidRDefault="002F74DE" w:rsidP="002F74DE">
      <w:pPr>
        <w:numPr>
          <w:ilvl w:val="0"/>
          <w:numId w:val="26"/>
        </w:numPr>
        <w:contextualSpacing/>
        <w:rPr>
          <w:lang w:val="en-US"/>
        </w:rPr>
      </w:pPr>
      <w:r w:rsidRPr="002F74DE">
        <w:t>Some elements are only core if they are required to distinguish that resource or entity from another similar resource or entity (</w:t>
      </w:r>
      <w:proofErr w:type="spellStart"/>
      <w:r w:rsidRPr="002F74DE">
        <w:t>eg</w:t>
      </w:r>
      <w:proofErr w:type="spellEnd"/>
      <w:r w:rsidRPr="002F74DE">
        <w:t>. The fuller form of a person’s name is only core if there is someone else with the same name and the fuller form is needed to distinguish them)</w:t>
      </w:r>
    </w:p>
    <w:p w:rsidR="008C6147" w:rsidRDefault="008C6147" w:rsidP="00351E16">
      <w:pPr>
        <w:ind w:left="720"/>
        <w:contextualSpacing/>
      </w:pPr>
    </w:p>
    <w:p w:rsidR="008C6147" w:rsidRDefault="007A4128" w:rsidP="00351E16">
      <w:pPr>
        <w:ind w:left="720"/>
        <w:contextualSpacing/>
      </w:pPr>
      <w:r>
        <w:rPr>
          <w:noProof/>
          <w:lang w:val="en-US" w:eastAsia="zh-CN" w:bidi="th-TH"/>
        </w:rPr>
        <w:pict>
          <v:shape id="_x0000_s1076" type="#_x0000_t32" style="position:absolute;left:0;text-align:left;margin-left:5.5pt;margin-top:15.1pt;width:437.1pt;height:0;z-index:251652096" o:connectortype="straight" strokecolor="#5f497a [2407]" strokeweight="3pt">
            <v:shadow type="perspective" color="#3f3151" opacity=".5" offset="1pt" offset2="-1pt"/>
          </v:shape>
        </w:pict>
      </w:r>
    </w:p>
    <w:p w:rsidR="008C6147" w:rsidRDefault="008C6147" w:rsidP="00351E16">
      <w:pPr>
        <w:ind w:left="720"/>
        <w:contextualSpacing/>
      </w:pPr>
    </w:p>
    <w:p w:rsidR="002E269F" w:rsidRDefault="002E269F" w:rsidP="00351E16">
      <w:pPr>
        <w:ind w:left="720"/>
        <w:contextualSpacing/>
      </w:pPr>
    </w:p>
    <w:p w:rsidR="008C6147" w:rsidRDefault="008C6147" w:rsidP="00351E16">
      <w:pPr>
        <w:ind w:left="720"/>
        <w:contextualSpacing/>
      </w:pPr>
    </w:p>
    <w:p w:rsidR="002F74DE" w:rsidRDefault="0028203C" w:rsidP="002F74DE">
      <w:pPr>
        <w:contextualSpacing/>
      </w:pPr>
      <w:r>
        <w:rPr>
          <w:b/>
          <w:bCs/>
          <w:noProof/>
          <w:lang w:val="en-US" w:eastAsia="zh-CN" w:bidi="th-TH"/>
        </w:rPr>
        <w:lastRenderedPageBreak/>
        <w:drawing>
          <wp:anchor distT="0" distB="0" distL="114300" distR="114300" simplePos="0" relativeHeight="251677696" behindDoc="0" locked="0" layoutInCell="1" allowOverlap="1">
            <wp:simplePos x="0" y="0"/>
            <wp:positionH relativeFrom="column">
              <wp:posOffset>3905250</wp:posOffset>
            </wp:positionH>
            <wp:positionV relativeFrom="paragraph">
              <wp:posOffset>635</wp:posOffset>
            </wp:positionV>
            <wp:extent cx="1619250" cy="1133475"/>
            <wp:effectExtent l="19050" t="19050" r="19050" b="28575"/>
            <wp:wrapSquare wrapText="bothSides"/>
            <wp:docPr id="2" name="Picture 1" descr="C:\Users\jstephen\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ephen\AppData\Local\Microsoft\Windows\Temporary Internet Files\Content.Word\~MyBitmap.bmp"/>
                    <pic:cNvPicPr>
                      <a:picLocks noChangeAspect="1" noChangeArrowheads="1"/>
                    </pic:cNvPicPr>
                  </pic:nvPicPr>
                  <pic:blipFill>
                    <a:blip r:embed="rId17" cstate="print"/>
                    <a:srcRect/>
                    <a:stretch>
                      <a:fillRect/>
                    </a:stretch>
                  </pic:blipFill>
                  <pic:spPr bwMode="auto">
                    <a:xfrm>
                      <a:off x="0" y="0"/>
                      <a:ext cx="1619250" cy="1133475"/>
                    </a:xfrm>
                    <a:prstGeom prst="rect">
                      <a:avLst/>
                    </a:prstGeom>
                    <a:noFill/>
                    <a:ln w="9525">
                      <a:solidFill>
                        <a:schemeClr val="tx1"/>
                      </a:solidFill>
                      <a:miter lim="800000"/>
                      <a:headEnd/>
                      <a:tailEnd/>
                    </a:ln>
                  </pic:spPr>
                </pic:pic>
              </a:graphicData>
            </a:graphic>
          </wp:anchor>
        </w:drawing>
      </w:r>
      <w:r w:rsidR="002F74DE" w:rsidRPr="002F74DE">
        <w:rPr>
          <w:b/>
          <w:bCs/>
        </w:rPr>
        <w:t>Institutional policy decisions on Core elements</w:t>
      </w:r>
      <w:r w:rsidR="002F74DE" w:rsidRPr="002F74DE">
        <w:t xml:space="preserve"> </w:t>
      </w:r>
    </w:p>
    <w:p w:rsidR="002E269F" w:rsidRPr="002F74DE" w:rsidRDefault="002E269F" w:rsidP="002F74DE">
      <w:pPr>
        <w:contextualSpacing/>
        <w:rPr>
          <w:lang w:val="en-US"/>
        </w:rPr>
      </w:pPr>
    </w:p>
    <w:p w:rsidR="002F74DE" w:rsidRPr="002F74DE" w:rsidRDefault="002F74DE" w:rsidP="00B018C4">
      <w:pPr>
        <w:numPr>
          <w:ilvl w:val="0"/>
          <w:numId w:val="31"/>
        </w:numPr>
        <w:contextualSpacing/>
        <w:rPr>
          <w:lang w:val="en-US"/>
        </w:rPr>
      </w:pPr>
      <w:r w:rsidRPr="002F74DE">
        <w:t xml:space="preserve">Some institutions may identify additional elements, beyond the RDA </w:t>
      </w:r>
      <w:r w:rsidRPr="002F74DE">
        <w:rPr>
          <w:b/>
          <w:bCs/>
        </w:rPr>
        <w:t>Core elements</w:t>
      </w:r>
      <w:r w:rsidR="00B74EE3">
        <w:rPr>
          <w:b/>
          <w:bCs/>
        </w:rPr>
        <w:t>,</w:t>
      </w:r>
      <w:r w:rsidRPr="002F74DE">
        <w:rPr>
          <w:b/>
          <w:bCs/>
        </w:rPr>
        <w:t xml:space="preserve"> </w:t>
      </w:r>
      <w:r w:rsidRPr="002F74DE">
        <w:t xml:space="preserve">that they consider mandatory for their cataloguers to include.  The Library of Congress has already done this and they are included in the </w:t>
      </w:r>
      <w:r w:rsidRPr="002F74DE">
        <w:rPr>
          <w:i/>
          <w:iCs/>
        </w:rPr>
        <w:t>Library of Congress</w:t>
      </w:r>
      <w:r w:rsidR="00B74EE3">
        <w:rPr>
          <w:i/>
          <w:iCs/>
        </w:rPr>
        <w:t>-Program for Cooperative Cataloguing</w:t>
      </w:r>
      <w:r w:rsidRPr="002F74DE">
        <w:rPr>
          <w:i/>
          <w:iCs/>
        </w:rPr>
        <w:t xml:space="preserve"> Policy Statements</w:t>
      </w:r>
      <w:r w:rsidRPr="002F74DE">
        <w:t xml:space="preserve"> </w:t>
      </w:r>
      <w:r w:rsidR="00B74EE3">
        <w:t>we</w:t>
      </w:r>
      <w:r w:rsidRPr="002F74DE">
        <w:t xml:space="preserve"> showed you during the Toolkit demonstration. </w:t>
      </w:r>
    </w:p>
    <w:p w:rsidR="002F74DE" w:rsidRPr="002F74DE" w:rsidRDefault="002F74DE" w:rsidP="002F74DE">
      <w:pPr>
        <w:ind w:left="360"/>
        <w:contextualSpacing/>
        <w:rPr>
          <w:lang w:val="en-US"/>
        </w:rPr>
      </w:pPr>
    </w:p>
    <w:p w:rsidR="002F74DE" w:rsidRPr="0028203C" w:rsidRDefault="002F74DE" w:rsidP="002F74DE">
      <w:pPr>
        <w:numPr>
          <w:ilvl w:val="0"/>
          <w:numId w:val="27"/>
        </w:numPr>
        <w:contextualSpacing/>
        <w:rPr>
          <w:lang w:val="en-US"/>
        </w:rPr>
      </w:pPr>
      <w:r w:rsidRPr="002F74DE">
        <w:t xml:space="preserve">The National Library of Australia has also selected a number of non-core elements that </w:t>
      </w:r>
      <w:r w:rsidR="00B74EE3">
        <w:t xml:space="preserve">NLA </w:t>
      </w:r>
      <w:r w:rsidRPr="002F74DE">
        <w:t>cataloguers will be required to include</w:t>
      </w:r>
      <w:r w:rsidR="00B74EE3">
        <w:t xml:space="preserve">.  When they are finalised </w:t>
      </w:r>
      <w:r w:rsidR="00C45C69" w:rsidRPr="00C45C69">
        <w:t>we will have them loaded to the Toolkit.  We will also make these available on our website</w:t>
      </w:r>
      <w:r w:rsidR="00C45C69">
        <w:t>.</w:t>
      </w:r>
      <w:r w:rsidR="00C45C69" w:rsidRPr="00C45C69">
        <w:t xml:space="preserve"> </w:t>
      </w:r>
    </w:p>
    <w:p w:rsidR="00C45C69" w:rsidRPr="00C45C69" w:rsidRDefault="002F74DE" w:rsidP="00C45C69">
      <w:pPr>
        <w:numPr>
          <w:ilvl w:val="0"/>
          <w:numId w:val="27"/>
        </w:numPr>
        <w:contextualSpacing/>
        <w:rPr>
          <w:lang w:val="en-US"/>
        </w:rPr>
      </w:pPr>
      <w:r w:rsidRPr="002F74DE">
        <w:t>Records contributed to Libraries Australi</w:t>
      </w:r>
      <w:r w:rsidR="00B74EE3">
        <w:t>a will be required to meet a Minimum Record S</w:t>
      </w:r>
      <w:r w:rsidRPr="002F74DE">
        <w:t xml:space="preserve">tandard (required data elements) </w:t>
      </w:r>
      <w:r w:rsidR="00C45C69" w:rsidRPr="00C45C69">
        <w:t>which is available in provisional form on the website linked to here, and will come into force in early 2013</w:t>
      </w:r>
    </w:p>
    <w:p w:rsidR="00C736B0" w:rsidRPr="00C45C69" w:rsidRDefault="00C736B0" w:rsidP="00C45C69">
      <w:pPr>
        <w:ind w:left="720"/>
        <w:contextualSpacing/>
        <w:rPr>
          <w:rFonts w:ascii="Cambria" w:eastAsia="Times New Roman" w:hAnsi="Cambria"/>
          <w:b/>
          <w:bCs/>
          <w:sz w:val="26"/>
          <w:szCs w:val="26"/>
        </w:rPr>
      </w:pPr>
    </w:p>
    <w:p w:rsidR="008C6147" w:rsidRDefault="00C736B0" w:rsidP="00C736B0">
      <w:pPr>
        <w:rPr>
          <w:i/>
        </w:rPr>
      </w:pPr>
      <w:r w:rsidRPr="00DD6B31">
        <w:rPr>
          <w:i/>
        </w:rPr>
        <w:t xml:space="preserve"> [For presenters: If asked whether libraries can use less than the RDA core elements, say that</w:t>
      </w:r>
      <w:r>
        <w:rPr>
          <w:i/>
        </w:rPr>
        <w:t xml:space="preserve"> it is possible but</w:t>
      </w:r>
      <w:r w:rsidRPr="00DD6B31">
        <w:rPr>
          <w:i/>
        </w:rPr>
        <w:t xml:space="preserve"> RDA discourages this, and libraries should first seriously consider the impact of doing so on their users.  Also, those contributing</w:t>
      </w:r>
      <w:r>
        <w:rPr>
          <w:i/>
        </w:rPr>
        <w:t xml:space="preserve"> data</w:t>
      </w:r>
      <w:r w:rsidRPr="00DD6B31">
        <w:rPr>
          <w:i/>
        </w:rPr>
        <w:t xml:space="preserve"> to Libraries Australia must adhere to the minimum standard required </w:t>
      </w:r>
      <w:r>
        <w:rPr>
          <w:i/>
        </w:rPr>
        <w:t>by them</w:t>
      </w:r>
      <w:r w:rsidRPr="00DD6B31">
        <w:rPr>
          <w:i/>
        </w:rPr>
        <w:t>, as this is necessary for matching and merging incoming data.</w:t>
      </w:r>
      <w:r>
        <w:rPr>
          <w:i/>
        </w:rPr>
        <w:t xml:space="preserve"> You may also wish to go back to the list of core elements at 0.6 and point out that there are very few core elements that aren’t </w:t>
      </w:r>
      <w:r>
        <w:rPr>
          <w:b/>
          <w:i/>
        </w:rPr>
        <w:t xml:space="preserve">conditionally core, </w:t>
      </w:r>
      <w:r>
        <w:rPr>
          <w:i/>
        </w:rPr>
        <w:t>so they don’t necessarily always have to be recorded</w:t>
      </w:r>
      <w:r>
        <w:rPr>
          <w:b/>
          <w:i/>
        </w:rPr>
        <w:t>.</w:t>
      </w:r>
      <w:r>
        <w:rPr>
          <w:i/>
        </w:rPr>
        <w:t xml:space="preserve">  Some of those that don’t have a condition mentioned in </w:t>
      </w:r>
      <w:proofErr w:type="gramStart"/>
      <w:r>
        <w:rPr>
          <w:i/>
        </w:rPr>
        <w:t>0.6,</w:t>
      </w:r>
      <w:proofErr w:type="gramEnd"/>
      <w:r>
        <w:rPr>
          <w:i/>
        </w:rPr>
        <w:t xml:space="preserve"> </w:t>
      </w:r>
      <w:r w:rsidRPr="003D5FB8">
        <w:rPr>
          <w:b/>
          <w:i/>
        </w:rPr>
        <w:t>do</w:t>
      </w:r>
      <w:r>
        <w:rPr>
          <w:i/>
        </w:rPr>
        <w:t xml:space="preserve"> have one listed in the instructions (</w:t>
      </w:r>
      <w:proofErr w:type="spellStart"/>
      <w:r>
        <w:rPr>
          <w:i/>
        </w:rPr>
        <w:t>eg</w:t>
      </w:r>
      <w:proofErr w:type="spellEnd"/>
      <w:r>
        <w:rPr>
          <w:i/>
        </w:rPr>
        <w:t>. Date of publication is only core for published resources)</w:t>
      </w:r>
    </w:p>
    <w:p w:rsidR="00B018C4" w:rsidRPr="00C736B0" w:rsidRDefault="007A4128" w:rsidP="00C736B0">
      <w:pPr>
        <w:rPr>
          <w:i/>
        </w:rPr>
      </w:pPr>
      <w:r w:rsidRPr="007A4128">
        <w:rPr>
          <w:noProof/>
          <w:lang w:val="en-US" w:eastAsia="zh-CN" w:bidi="th-TH"/>
        </w:rPr>
        <w:pict>
          <v:shape id="_x0000_s1077" type="#_x0000_t32" style="position:absolute;margin-left:2.3pt;margin-top:11.85pt;width:437.1pt;height:0;z-index:251653120" o:connectortype="straight" strokecolor="#5f497a [2407]" strokeweight="3pt">
            <v:shadow type="perspective" color="#3f3151" opacity=".5" offset="1pt" offset2="-1pt"/>
          </v:shape>
        </w:pict>
      </w:r>
    </w:p>
    <w:p w:rsidR="00B018C4" w:rsidRDefault="000809A2" w:rsidP="001D792D">
      <w:pPr>
        <w:pStyle w:val="Heading4"/>
        <w:rPr>
          <w:noProof/>
        </w:rPr>
      </w:pPr>
      <w:r>
        <w:rPr>
          <w:noProof/>
          <w:lang w:val="en-US" w:eastAsia="zh-CN" w:bidi="th-TH"/>
        </w:rPr>
        <w:drawing>
          <wp:anchor distT="0" distB="0" distL="114300" distR="114300" simplePos="0" relativeHeight="251668480" behindDoc="0" locked="0" layoutInCell="1" allowOverlap="1">
            <wp:simplePos x="0" y="0"/>
            <wp:positionH relativeFrom="column">
              <wp:posOffset>3819525</wp:posOffset>
            </wp:positionH>
            <wp:positionV relativeFrom="paragraph">
              <wp:posOffset>93345</wp:posOffset>
            </wp:positionV>
            <wp:extent cx="1619885" cy="1196975"/>
            <wp:effectExtent l="19050" t="19050" r="18415" b="22225"/>
            <wp:wrapSquare wrapText="bothSides"/>
            <wp:docPr id="68" name="Picture 68"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yBitmap"/>
                    <pic:cNvPicPr>
                      <a:picLocks noChangeAspect="1" noChangeArrowheads="1"/>
                    </pic:cNvPicPr>
                  </pic:nvPicPr>
                  <pic:blipFill>
                    <a:blip r:embed="rId18" cstate="print"/>
                    <a:srcRect/>
                    <a:stretch>
                      <a:fillRect/>
                    </a:stretch>
                  </pic:blipFill>
                  <pic:spPr bwMode="auto">
                    <a:xfrm>
                      <a:off x="0" y="0"/>
                      <a:ext cx="1619885" cy="1196975"/>
                    </a:xfrm>
                    <a:prstGeom prst="rect">
                      <a:avLst/>
                    </a:prstGeom>
                    <a:noFill/>
                    <a:ln w="12700">
                      <a:solidFill>
                        <a:srgbClr val="000000"/>
                      </a:solidFill>
                      <a:miter lim="800000"/>
                      <a:headEnd/>
                      <a:tailEnd/>
                    </a:ln>
                  </pic:spPr>
                </pic:pic>
              </a:graphicData>
            </a:graphic>
          </wp:anchor>
        </w:drawing>
      </w:r>
      <w:r w:rsidR="00B018C4">
        <w:rPr>
          <w:noProof/>
        </w:rPr>
        <w:t>International Cataloguing Principles</w:t>
      </w:r>
    </w:p>
    <w:p w:rsidR="002F71D0" w:rsidRPr="00B018C4" w:rsidRDefault="002F71D0" w:rsidP="00B018C4">
      <w:pPr>
        <w:contextualSpacing/>
        <w:rPr>
          <w:b/>
          <w:bCs/>
        </w:rPr>
      </w:pPr>
    </w:p>
    <w:p w:rsidR="00E14DB4" w:rsidRDefault="00D373C4" w:rsidP="00D373C4">
      <w:pPr>
        <w:contextualSpacing/>
      </w:pPr>
      <w:r>
        <w:t xml:space="preserve">We have talked a lot about the influence of FRBR and FRAD on RDA. There is another important document called the Statement of international cataloguing principles (ICP) on which RDAs key principles are founded.  We won’t go into these in detail but it is important to be aware of them.  </w:t>
      </w:r>
      <w:r w:rsidR="00B74EE3">
        <w:t xml:space="preserve">The key </w:t>
      </w:r>
      <w:r>
        <w:t>principles are listed in</w:t>
      </w:r>
      <w:r w:rsidR="002F71D0">
        <w:t xml:space="preserve"> Appendix 6 of the</w:t>
      </w:r>
      <w:r>
        <w:t xml:space="preserve"> handbook.</w:t>
      </w:r>
    </w:p>
    <w:p w:rsidR="002F71D0" w:rsidRDefault="001D792D" w:rsidP="001D792D">
      <w:pPr>
        <w:pStyle w:val="Heading4"/>
      </w:pPr>
      <w:r>
        <w:t>User focused</w:t>
      </w:r>
    </w:p>
    <w:p w:rsidR="00D373C4" w:rsidRDefault="007A4128" w:rsidP="002F71D0">
      <w:pPr>
        <w:rPr>
          <w:b/>
          <w:bCs/>
        </w:rPr>
      </w:pPr>
      <w:r w:rsidRPr="007A4128">
        <w:rPr>
          <w:noProof/>
          <w:lang w:val="en-US" w:eastAsia="zh-CN" w:bidi="th-TH"/>
        </w:rPr>
        <w:pict>
          <v:shape id="_x0000_s1060" type="#_x0000_t32" style="position:absolute;margin-left:6.35pt;margin-top:69.7pt;width:437.1pt;height:0;z-index:251644928" o:connectortype="straight" strokecolor="#5f497a [2407]" strokeweight="3pt">
            <v:shadow type="perspective" color="#3f3151" opacity=".5" offset="1pt" offset2="-1pt"/>
          </v:shape>
        </w:pict>
      </w:r>
      <w:r w:rsidR="00D373C4">
        <w:t xml:space="preserve">When we talked about FRBR we looked at the user tasks – Find, identify, select, obtain – these are a recurring theme throughout RDA.  Each section begins with a statement of functional objectives that relate the instructions in the section back to the FRBR and FRAD user tasks they intend to assist.  </w:t>
      </w:r>
    </w:p>
    <w:p w:rsidR="00D373C4" w:rsidRDefault="00D373C4" w:rsidP="002F71D0">
      <w:pPr>
        <w:contextualSpacing/>
      </w:pPr>
    </w:p>
    <w:p w:rsidR="0028203C" w:rsidRDefault="0028203C" w:rsidP="002F71D0">
      <w:pPr>
        <w:contextualSpacing/>
      </w:pPr>
    </w:p>
    <w:p w:rsidR="0028203C" w:rsidRDefault="0028203C" w:rsidP="002F71D0">
      <w:pPr>
        <w:contextualSpacing/>
      </w:pPr>
    </w:p>
    <w:p w:rsidR="002F71D0" w:rsidRDefault="000809A2" w:rsidP="002F71D0">
      <w:pPr>
        <w:contextualSpacing/>
      </w:pPr>
      <w:r w:rsidRPr="001D792D">
        <w:rPr>
          <w:rStyle w:val="Heading4Char"/>
          <w:rFonts w:eastAsia="Calibri"/>
          <w:noProof/>
          <w:lang w:val="en-US" w:eastAsia="zh-CN" w:bidi="th-TH"/>
        </w:rPr>
        <w:lastRenderedPageBreak/>
        <w:drawing>
          <wp:anchor distT="0" distB="0" distL="114300" distR="114300" simplePos="0" relativeHeight="251669504" behindDoc="0" locked="0" layoutInCell="1" allowOverlap="1">
            <wp:simplePos x="0" y="0"/>
            <wp:positionH relativeFrom="column">
              <wp:posOffset>3752850</wp:posOffset>
            </wp:positionH>
            <wp:positionV relativeFrom="paragraph">
              <wp:posOffset>90170</wp:posOffset>
            </wp:positionV>
            <wp:extent cx="1619885" cy="1212850"/>
            <wp:effectExtent l="19050" t="19050" r="18415" b="25400"/>
            <wp:wrapSquare wrapText="bothSides"/>
            <wp:docPr id="69" name="Picture 69"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yBitmap"/>
                    <pic:cNvPicPr>
                      <a:picLocks noChangeAspect="1" noChangeArrowheads="1"/>
                    </pic:cNvPicPr>
                  </pic:nvPicPr>
                  <pic:blipFill>
                    <a:blip r:embed="rId19" cstate="print"/>
                    <a:srcRect/>
                    <a:stretch>
                      <a:fillRect/>
                    </a:stretch>
                  </pic:blipFill>
                  <pic:spPr bwMode="auto">
                    <a:xfrm>
                      <a:off x="0" y="0"/>
                      <a:ext cx="1619885" cy="1212850"/>
                    </a:xfrm>
                    <a:prstGeom prst="rect">
                      <a:avLst/>
                    </a:prstGeom>
                    <a:noFill/>
                    <a:ln w="12700">
                      <a:solidFill>
                        <a:srgbClr val="000000"/>
                      </a:solidFill>
                      <a:miter lim="800000"/>
                      <a:headEnd/>
                      <a:tailEnd/>
                    </a:ln>
                  </pic:spPr>
                </pic:pic>
              </a:graphicData>
            </a:graphic>
          </wp:anchor>
        </w:drawing>
      </w:r>
      <w:r w:rsidR="00182A05" w:rsidRPr="001D792D">
        <w:rPr>
          <w:rStyle w:val="Heading4Char"/>
          <w:rFonts w:eastAsia="Calibri"/>
        </w:rPr>
        <w:t>FRBR/FRAD Structure</w:t>
      </w:r>
    </w:p>
    <w:p w:rsidR="002F71D0" w:rsidRDefault="002F71D0" w:rsidP="002F71D0">
      <w:pPr>
        <w:contextualSpacing/>
      </w:pPr>
    </w:p>
    <w:p w:rsidR="00AC0582" w:rsidRDefault="008D0E33" w:rsidP="002F71D0">
      <w:pPr>
        <w:contextualSpacing/>
      </w:pPr>
      <w:r>
        <w:t xml:space="preserve">RDA’s set of data elements have been derived from the FRBR/FRAD model, so they encompass the </w:t>
      </w:r>
      <w:r>
        <w:rPr>
          <w:i/>
        </w:rPr>
        <w:t xml:space="preserve">entities, attributes </w:t>
      </w:r>
      <w:r>
        <w:t xml:space="preserve">and </w:t>
      </w:r>
      <w:r>
        <w:rPr>
          <w:i/>
        </w:rPr>
        <w:t>relationships</w:t>
      </w:r>
      <w:r>
        <w:t xml:space="preserve"> that we looked at earlier today.  </w:t>
      </w:r>
    </w:p>
    <w:p w:rsidR="002F71D0" w:rsidRDefault="002F71D0" w:rsidP="002F71D0">
      <w:pPr>
        <w:contextualSpacing/>
      </w:pPr>
    </w:p>
    <w:p w:rsidR="008D0E33" w:rsidRDefault="008D0E33" w:rsidP="002F71D0">
      <w:r>
        <w:t xml:space="preserve">They also encompass not only bibliographic resources but also all the other FRBR/FRAD </w:t>
      </w:r>
      <w:r w:rsidRPr="000C279B">
        <w:t>entities</w:t>
      </w:r>
      <w:r>
        <w:t>, such as people, corporate bodies, and even subjects (though the subject part of RDA is not yet written)</w:t>
      </w:r>
      <w:r w:rsidRPr="000C279B">
        <w:t xml:space="preserve">. </w:t>
      </w:r>
    </w:p>
    <w:p w:rsidR="002F74DE" w:rsidRDefault="008D0E33" w:rsidP="002F71D0">
      <w:r>
        <w:t>This means a significant change in the way the standard is arranged. RDA</w:t>
      </w:r>
      <w:r w:rsidRPr="000C279B">
        <w:t xml:space="preserve"> still has all the instructions you need to </w:t>
      </w:r>
      <w:r w:rsidRPr="004F2F69">
        <w:rPr>
          <w:i/>
        </w:rPr>
        <w:t>describe</w:t>
      </w:r>
      <w:r w:rsidRPr="000C279B">
        <w:t xml:space="preserve"> a resource and </w:t>
      </w:r>
      <w:r>
        <w:t>give</w:t>
      </w:r>
      <w:r w:rsidRPr="000C279B">
        <w:t xml:space="preserve"> </w:t>
      </w:r>
      <w:r w:rsidRPr="004F2F69">
        <w:rPr>
          <w:i/>
        </w:rPr>
        <w:t>access</w:t>
      </w:r>
      <w:r w:rsidRPr="000C279B">
        <w:t xml:space="preserve"> to it, but </w:t>
      </w:r>
      <w:r>
        <w:t xml:space="preserve">they are </w:t>
      </w:r>
      <w:r>
        <w:rPr>
          <w:i/>
        </w:rPr>
        <w:t>arranged</w:t>
      </w:r>
      <w:r w:rsidRPr="000C279B">
        <w:t xml:space="preserve"> according to the </w:t>
      </w:r>
      <w:r w:rsidRPr="004F2F69">
        <w:rPr>
          <w:i/>
        </w:rPr>
        <w:t>attributes</w:t>
      </w:r>
      <w:r w:rsidRPr="000C279B">
        <w:t xml:space="preserve"> of FRBR and FRAD </w:t>
      </w:r>
      <w:r w:rsidRPr="004F2F69">
        <w:rPr>
          <w:i/>
        </w:rPr>
        <w:t>entities</w:t>
      </w:r>
      <w:r w:rsidRPr="000C279B">
        <w:t xml:space="preserve">, and their </w:t>
      </w:r>
      <w:r w:rsidRPr="004F2F69">
        <w:rPr>
          <w:i/>
        </w:rPr>
        <w:t>relationships</w:t>
      </w:r>
      <w:r w:rsidRPr="000C279B">
        <w:t xml:space="preserve"> to each other. </w:t>
      </w:r>
    </w:p>
    <w:p w:rsidR="002F71D0" w:rsidRDefault="008D0E33" w:rsidP="008D0E33">
      <w:r>
        <w:t xml:space="preserve">The </w:t>
      </w:r>
      <w:r w:rsidRPr="00ED0A42">
        <w:t>broad division of RDA</w:t>
      </w:r>
      <w:r>
        <w:t xml:space="preserve"> is:</w:t>
      </w:r>
    </w:p>
    <w:p w:rsidR="002F74DE" w:rsidRDefault="0011772D" w:rsidP="002F71D0">
      <w:pPr>
        <w:numPr>
          <w:ilvl w:val="0"/>
          <w:numId w:val="33"/>
        </w:numPr>
      </w:pPr>
      <w:r w:rsidRPr="00AC0582">
        <w:rPr>
          <w:b/>
          <w:bCs/>
          <w:u w:val="single"/>
        </w:rPr>
        <w:t>Part</w:t>
      </w:r>
      <w:r w:rsidR="008D0E33" w:rsidRPr="00AC0582">
        <w:rPr>
          <w:b/>
          <w:bCs/>
          <w:u w:val="single"/>
        </w:rPr>
        <w:t xml:space="preserve"> 1: </w:t>
      </w:r>
      <w:r w:rsidR="00FA75BE" w:rsidRPr="00AC0582">
        <w:rPr>
          <w:b/>
          <w:bCs/>
          <w:u w:val="single"/>
        </w:rPr>
        <w:t>Attributes</w:t>
      </w:r>
      <w:r w:rsidR="00FA75BE">
        <w:rPr>
          <w:u w:val="single"/>
        </w:rPr>
        <w:t xml:space="preserve"> </w:t>
      </w:r>
      <w:r w:rsidR="00FA75BE">
        <w:t>contains</w:t>
      </w:r>
      <w:r w:rsidR="008D0E33">
        <w:t xml:space="preserve"> the instructions for recording the </w:t>
      </w:r>
      <w:r w:rsidR="008D0E33" w:rsidRPr="00B74EE3">
        <w:rPr>
          <w:i/>
          <w:iCs/>
        </w:rPr>
        <w:t>attributes</w:t>
      </w:r>
      <w:r w:rsidR="008D0E33">
        <w:t xml:space="preserve"> of </w:t>
      </w:r>
      <w:r w:rsidR="008D0E33" w:rsidRPr="003B4C3F">
        <w:rPr>
          <w:b/>
        </w:rPr>
        <w:t>all</w:t>
      </w:r>
      <w:r w:rsidR="008D0E33">
        <w:t xml:space="preserve"> of the FRBR/FRAD entities, including persons</w:t>
      </w:r>
      <w:r w:rsidR="00B74EE3">
        <w:t>,</w:t>
      </w:r>
      <w:r w:rsidR="008D0E33">
        <w:t xml:space="preserve"> families and corporate bodies. </w:t>
      </w:r>
      <w:r w:rsidR="002F71D0">
        <w:t xml:space="preserve"> </w:t>
      </w:r>
      <w:r w:rsidR="008D0E33">
        <w:t>It is arranged according to these entities, beginning with the Group 1 Entities (Work, Expr</w:t>
      </w:r>
      <w:r w:rsidR="00502FED">
        <w:t>ession, Manifestation and Item),</w:t>
      </w:r>
      <w:r w:rsidR="008D0E33">
        <w:t xml:space="preserve"> then covering the Group 2 entities (Person, Family and Corporate Body).  The Group 3 entity, place has also been included because the names of place are commonly used when describing other entities such as persons, corporate bodies (especially Governments) and even the titles of Works and Expressions. In the future, RDA will include instructions for “Place” as a subject, as well as the other Group Three </w:t>
      </w:r>
      <w:r w:rsidR="008D0E33">
        <w:rPr>
          <w:i/>
        </w:rPr>
        <w:t xml:space="preserve">subject </w:t>
      </w:r>
      <w:r w:rsidR="008D0E33">
        <w:t xml:space="preserve">entities (Concept, Object, and Event). </w:t>
      </w:r>
    </w:p>
    <w:p w:rsidR="00502FED" w:rsidRPr="00C30962" w:rsidRDefault="0011772D" w:rsidP="00D62E78">
      <w:pPr>
        <w:numPr>
          <w:ilvl w:val="0"/>
          <w:numId w:val="33"/>
        </w:numPr>
        <w:rPr>
          <w:u w:val="single"/>
        </w:rPr>
      </w:pPr>
      <w:r w:rsidRPr="00D62E78">
        <w:rPr>
          <w:b/>
          <w:bCs/>
          <w:u w:val="single"/>
        </w:rPr>
        <w:t>Part</w:t>
      </w:r>
      <w:r w:rsidR="008D0E33" w:rsidRPr="00D62E78">
        <w:rPr>
          <w:b/>
          <w:bCs/>
          <w:u w:val="single"/>
        </w:rPr>
        <w:t xml:space="preserve"> 2: Relationships</w:t>
      </w:r>
      <w:r w:rsidR="008D0E33">
        <w:rPr>
          <w:u w:val="single"/>
        </w:rPr>
        <w:t xml:space="preserve"> </w:t>
      </w:r>
      <w:r w:rsidR="008D0E33">
        <w:t>contains the instructions</w:t>
      </w:r>
      <w:r w:rsidR="00B74EE3">
        <w:t xml:space="preserve"> about</w:t>
      </w:r>
      <w:r w:rsidR="008D0E33">
        <w:t xml:space="preserve"> recording </w:t>
      </w:r>
      <w:r w:rsidR="008D0E33" w:rsidRPr="00B74EE3">
        <w:rPr>
          <w:i/>
          <w:iCs/>
        </w:rPr>
        <w:t>relationships</w:t>
      </w:r>
      <w:r w:rsidR="008D0E33">
        <w:t xml:space="preserve"> between the FRBR/FRAD entities.  </w:t>
      </w:r>
    </w:p>
    <w:p w:rsidR="00C30962" w:rsidRPr="00C30962" w:rsidRDefault="00C30962" w:rsidP="00C30962">
      <w:pPr>
        <w:rPr>
          <w:lang w:val="en-US"/>
        </w:rPr>
      </w:pPr>
      <w:r w:rsidRPr="00C30962">
        <w:t xml:space="preserve">It is important to become familiar with this broad division in order to find the instructions you are seeking.  What we currently understand as the </w:t>
      </w:r>
      <w:r w:rsidRPr="00C30962">
        <w:rPr>
          <w:i/>
          <w:iCs/>
        </w:rPr>
        <w:t xml:space="preserve">descriptive </w:t>
      </w:r>
      <w:r w:rsidRPr="00C30962">
        <w:t xml:space="preserve">elements, actually encompass </w:t>
      </w:r>
      <w:r w:rsidRPr="00C30962">
        <w:rPr>
          <w:i/>
          <w:iCs/>
        </w:rPr>
        <w:t>attributes</w:t>
      </w:r>
      <w:r w:rsidRPr="00C30962">
        <w:t xml:space="preserve"> of </w:t>
      </w:r>
      <w:r w:rsidRPr="00C30962">
        <w:rPr>
          <w:b/>
          <w:bCs/>
        </w:rPr>
        <w:t>all four</w:t>
      </w:r>
      <w:r w:rsidRPr="00C30962">
        <w:rPr>
          <w:i/>
          <w:iCs/>
        </w:rPr>
        <w:t xml:space="preserve"> </w:t>
      </w:r>
      <w:r w:rsidRPr="00C30962">
        <w:t xml:space="preserve">Group 1 </w:t>
      </w:r>
      <w:proofErr w:type="gramStart"/>
      <w:r w:rsidRPr="00C30962">
        <w:t>entities.</w:t>
      </w:r>
      <w:proofErr w:type="gramEnd"/>
      <w:r w:rsidRPr="00C30962">
        <w:t xml:space="preserve">  And much of what we are used to finding under “Access points” in </w:t>
      </w:r>
      <w:proofErr w:type="gramStart"/>
      <w:r w:rsidRPr="00C30962">
        <w:t>AACR2,</w:t>
      </w:r>
      <w:proofErr w:type="gramEnd"/>
      <w:r w:rsidRPr="00C30962">
        <w:t xml:space="preserve"> is actually about the </w:t>
      </w:r>
      <w:r w:rsidRPr="00C30962">
        <w:rPr>
          <w:i/>
          <w:iCs/>
        </w:rPr>
        <w:t xml:space="preserve">attributes </w:t>
      </w:r>
      <w:r w:rsidRPr="00C30962">
        <w:t xml:space="preserve">of Group 2 entities, rather than the </w:t>
      </w:r>
      <w:r w:rsidRPr="00C30962">
        <w:rPr>
          <w:i/>
          <w:iCs/>
        </w:rPr>
        <w:t>relationships</w:t>
      </w:r>
      <w:r w:rsidRPr="00C30962">
        <w:t xml:space="preserve"> they represent.</w:t>
      </w:r>
    </w:p>
    <w:p w:rsidR="00502FED" w:rsidRPr="002329D5" w:rsidRDefault="002329D5" w:rsidP="00D62E78">
      <w:pPr>
        <w:ind w:left="720"/>
        <w:rPr>
          <w:lang w:val="en-US"/>
        </w:rPr>
      </w:pPr>
      <w:r>
        <w:rPr>
          <w:lang w:val="en-NZ"/>
        </w:rPr>
        <w:t>R</w:t>
      </w:r>
      <w:r w:rsidR="00502FED" w:rsidRPr="002329D5">
        <w:rPr>
          <w:lang w:val="en-NZ"/>
        </w:rPr>
        <w:t>elationship</w:t>
      </w:r>
      <w:r>
        <w:rPr>
          <w:lang w:val="en-NZ"/>
        </w:rPr>
        <w:t>s</w:t>
      </w:r>
      <w:r w:rsidR="00502FED" w:rsidRPr="002329D5">
        <w:rPr>
          <w:lang w:val="en-NZ"/>
        </w:rPr>
        <w:t xml:space="preserve"> </w:t>
      </w:r>
      <w:r>
        <w:rPr>
          <w:lang w:val="en-NZ"/>
        </w:rPr>
        <w:t>are</w:t>
      </w:r>
      <w:r w:rsidR="00502FED" w:rsidRPr="002329D5">
        <w:rPr>
          <w:lang w:val="en-NZ"/>
        </w:rPr>
        <w:t xml:space="preserve"> a way of identifying the resource so that machines can use the data. A person </w:t>
      </w:r>
      <w:r>
        <w:rPr>
          <w:lang w:val="en-NZ"/>
        </w:rPr>
        <w:t>can look</w:t>
      </w:r>
      <w:r w:rsidR="00502FED" w:rsidRPr="002329D5">
        <w:rPr>
          <w:lang w:val="en-NZ"/>
        </w:rPr>
        <w:t xml:space="preserve"> at the list of attributes </w:t>
      </w:r>
      <w:r>
        <w:rPr>
          <w:lang w:val="en-NZ"/>
        </w:rPr>
        <w:t>and see this is a book by Wayne Lynch</w:t>
      </w:r>
      <w:r w:rsidR="00502FED" w:rsidRPr="002329D5">
        <w:rPr>
          <w:lang w:val="en-NZ"/>
        </w:rPr>
        <w:t xml:space="preserve">, but a machine </w:t>
      </w:r>
      <w:r>
        <w:rPr>
          <w:lang w:val="en-NZ"/>
        </w:rPr>
        <w:t>cannot</w:t>
      </w:r>
    </w:p>
    <w:p w:rsidR="00502FED" w:rsidRPr="002329D5" w:rsidRDefault="0072617F" w:rsidP="00D62E78">
      <w:pPr>
        <w:ind w:left="720"/>
        <w:rPr>
          <w:lang w:val="en-US"/>
        </w:rPr>
      </w:pPr>
      <w:r>
        <w:rPr>
          <w:lang w:val="en-NZ"/>
        </w:rPr>
        <w:t>I</w:t>
      </w:r>
      <w:r w:rsidR="00502FED" w:rsidRPr="002329D5">
        <w:rPr>
          <w:lang w:val="en-NZ"/>
        </w:rPr>
        <w:t>n this case we’ve used an authorised ac</w:t>
      </w:r>
      <w:r w:rsidR="00A603E2">
        <w:rPr>
          <w:lang w:val="en-NZ"/>
        </w:rPr>
        <w:t>cess point to identify the work. RDA 17.8 Work manifested</w:t>
      </w:r>
    </w:p>
    <w:p w:rsidR="00502FED" w:rsidRPr="002329D5" w:rsidRDefault="00502FED" w:rsidP="00D62E78">
      <w:pPr>
        <w:ind w:left="720"/>
        <w:rPr>
          <w:lang w:val="en-US"/>
        </w:rPr>
      </w:pPr>
      <w:r w:rsidRPr="002329D5">
        <w:rPr>
          <w:lang w:val="en-NZ"/>
        </w:rPr>
        <w:t xml:space="preserve">This is a relationship that is only recorded in AACR2 if there are several versions of the same work or several works with the same title. </w:t>
      </w:r>
    </w:p>
    <w:p w:rsidR="00502FED" w:rsidRPr="002329D5" w:rsidRDefault="00502FED" w:rsidP="00D62E78">
      <w:pPr>
        <w:ind w:left="720"/>
        <w:rPr>
          <w:lang w:val="en-NZ"/>
        </w:rPr>
      </w:pPr>
      <w:r w:rsidRPr="002329D5">
        <w:rPr>
          <w:lang w:val="en-NZ"/>
        </w:rPr>
        <w:lastRenderedPageBreak/>
        <w:t xml:space="preserve">The next </w:t>
      </w:r>
      <w:proofErr w:type="gramStart"/>
      <w:r w:rsidRPr="002329D5">
        <w:rPr>
          <w:lang w:val="en-NZ"/>
        </w:rPr>
        <w:t>set of relationships are</w:t>
      </w:r>
      <w:proofErr w:type="gramEnd"/>
      <w:r w:rsidRPr="002329D5">
        <w:rPr>
          <w:lang w:val="en-NZ"/>
        </w:rPr>
        <w:t xml:space="preserve"> those to Group 2 entities linked to the resource. These are the b</w:t>
      </w:r>
      <w:r w:rsidR="002329D5">
        <w:rPr>
          <w:lang w:val="en-NZ"/>
        </w:rPr>
        <w:t>asic “access points” of AACR2. I</w:t>
      </w:r>
      <w:r w:rsidRPr="002329D5">
        <w:rPr>
          <w:lang w:val="en-NZ"/>
        </w:rPr>
        <w:t xml:space="preserve">n this example we just have the one between the author and the resource. </w:t>
      </w:r>
      <w:r w:rsidR="00A603E2">
        <w:rPr>
          <w:lang w:val="en-NZ"/>
        </w:rPr>
        <w:t xml:space="preserve">   RDA 19.2 recording creators</w:t>
      </w:r>
    </w:p>
    <w:p w:rsidR="004812FC" w:rsidRPr="002F71D0" w:rsidRDefault="002F71D0" w:rsidP="002F71D0">
      <w:r>
        <w:t xml:space="preserve">Appendix </w:t>
      </w:r>
      <w:r w:rsidR="00C45C69">
        <w:t>4</w:t>
      </w:r>
      <w:r>
        <w:t xml:space="preserve"> of the </w:t>
      </w:r>
      <w:r w:rsidR="008D0E33">
        <w:t xml:space="preserve">workbook </w:t>
      </w:r>
      <w:r>
        <w:t>contains</w:t>
      </w:r>
      <w:r w:rsidR="008D0E33">
        <w:t xml:space="preserve"> a table titled “Where is it in RDA” which is adapted of Training Document #2 of the documentation developed by LC for the US RDA test.  This table is designed to help you with this orientation</w:t>
      </w:r>
    </w:p>
    <w:p w:rsidR="002F71D0" w:rsidRDefault="00E34E37" w:rsidP="001D792D">
      <w:pPr>
        <w:pStyle w:val="Heading4"/>
      </w:pPr>
      <w:r>
        <w:t>Greater emphasis on relationships</w:t>
      </w:r>
      <w:r w:rsidR="00D45CB8">
        <w:t xml:space="preserve"> </w:t>
      </w:r>
    </w:p>
    <w:p w:rsidR="002F71D0" w:rsidRPr="002F71D0" w:rsidRDefault="002F71D0" w:rsidP="002F71D0">
      <w:pPr>
        <w:contextualSpacing/>
        <w:rPr>
          <w:b/>
          <w:bCs/>
        </w:rPr>
      </w:pPr>
    </w:p>
    <w:p w:rsidR="002F71D0" w:rsidRDefault="002F71D0" w:rsidP="002F71D0">
      <w:pPr>
        <w:contextualSpacing/>
      </w:pPr>
      <w:r>
        <w:t>AACR2</w:t>
      </w:r>
      <w:r w:rsidR="00C45C69">
        <w:t>’</w:t>
      </w:r>
      <w:r>
        <w:t xml:space="preserve">s second part, </w:t>
      </w:r>
      <w:r w:rsidR="00A4630F">
        <w:t>providing “access points”</w:t>
      </w:r>
      <w:r>
        <w:t>,</w:t>
      </w:r>
      <w:r w:rsidR="00C30962">
        <w:t xml:space="preserve"> </w:t>
      </w:r>
      <w:r w:rsidR="00C30962">
        <w:rPr>
          <w:b/>
          <w:bCs/>
        </w:rPr>
        <w:t>is</w:t>
      </w:r>
      <w:r w:rsidR="00A4630F">
        <w:t xml:space="preserve"> about recording </w:t>
      </w:r>
      <w:r w:rsidR="00A4630F" w:rsidRPr="00C30962">
        <w:rPr>
          <w:i/>
          <w:iCs/>
        </w:rPr>
        <w:t>relationships</w:t>
      </w:r>
      <w:r>
        <w:t>.</w:t>
      </w:r>
      <w:r w:rsidR="00182A05">
        <w:t xml:space="preserve"> </w:t>
      </w:r>
      <w:r>
        <w:t>But it just</w:t>
      </w:r>
      <w:r w:rsidR="00A628CF">
        <w:t xml:space="preserve"> record</w:t>
      </w:r>
      <w:r>
        <w:t>s</w:t>
      </w:r>
      <w:r w:rsidR="00A628CF">
        <w:t xml:space="preserve"> that a relationship </w:t>
      </w:r>
      <w:r w:rsidR="00A628CF" w:rsidRPr="00C30962">
        <w:rPr>
          <w:i/>
          <w:iCs/>
        </w:rPr>
        <w:t>exists</w:t>
      </w:r>
      <w:r w:rsidR="00A628CF">
        <w:t xml:space="preserve"> rather than the </w:t>
      </w:r>
      <w:r w:rsidR="00A628CF" w:rsidRPr="00C30962">
        <w:rPr>
          <w:i/>
          <w:iCs/>
        </w:rPr>
        <w:t>nature</w:t>
      </w:r>
      <w:r w:rsidR="00A628CF">
        <w:t xml:space="preserve"> of that </w:t>
      </w:r>
      <w:r w:rsidR="00A628CF" w:rsidRPr="00C30962">
        <w:rPr>
          <w:i/>
          <w:iCs/>
        </w:rPr>
        <w:t>relationship</w:t>
      </w:r>
      <w:r w:rsidR="00A628CF">
        <w:t xml:space="preserve">. </w:t>
      </w:r>
    </w:p>
    <w:p w:rsidR="002F71D0" w:rsidRDefault="002F71D0" w:rsidP="002F71D0">
      <w:pPr>
        <w:contextualSpacing/>
      </w:pPr>
    </w:p>
    <w:p w:rsidR="00E34E37" w:rsidRDefault="00C30962" w:rsidP="002F71D0">
      <w:pPr>
        <w:contextualSpacing/>
      </w:pPr>
      <w:r>
        <w:t>MARC</w:t>
      </w:r>
      <w:r w:rsidR="00A628CF">
        <w:t xml:space="preserve"> </w:t>
      </w:r>
      <w:r>
        <w:t>went</w:t>
      </w:r>
      <w:r w:rsidR="00A628CF">
        <w:t xml:space="preserve"> a little further by providing subfields you can add to the access point containing either a term or code describing the nature of the relationship.  For example NLA oral history cataloguers use relationship codes in access points to indicate which access point belongs to the interviewer and which to the interviewee.</w:t>
      </w:r>
    </w:p>
    <w:p w:rsidR="002F71D0" w:rsidRPr="00A628CF" w:rsidRDefault="002F71D0" w:rsidP="002F71D0">
      <w:pPr>
        <w:contextualSpacing/>
        <w:rPr>
          <w:b/>
          <w:bCs/>
        </w:rPr>
      </w:pPr>
    </w:p>
    <w:p w:rsidR="00D373C4" w:rsidRDefault="00A628CF" w:rsidP="002F71D0">
      <w:pPr>
        <w:contextualSpacing/>
      </w:pPr>
      <w:r w:rsidRPr="00A628CF">
        <w:t>RDA places</w:t>
      </w:r>
      <w:r>
        <w:t xml:space="preserve"> strong emphasis on relationships because they are a key part of the FRBR/FRAD models.  </w:t>
      </w:r>
    </w:p>
    <w:p w:rsidR="00D373C4" w:rsidRDefault="00D373C4" w:rsidP="00D373C4">
      <w:pPr>
        <w:contextualSpacing/>
      </w:pPr>
    </w:p>
    <w:p w:rsidR="0024607D" w:rsidRDefault="00A628CF" w:rsidP="002F71D0">
      <w:pPr>
        <w:numPr>
          <w:ilvl w:val="0"/>
          <w:numId w:val="33"/>
        </w:numPr>
        <w:contextualSpacing/>
      </w:pPr>
      <w:r>
        <w:t xml:space="preserve">RDA defines the types of relationships more clearly than AACR2 to enable </w:t>
      </w:r>
      <w:r w:rsidR="00D45CB8">
        <w:t xml:space="preserve">our users and </w:t>
      </w:r>
      <w:r>
        <w:t xml:space="preserve">computers </w:t>
      </w:r>
      <w:r w:rsidR="00C45C69">
        <w:t xml:space="preserve">to </w:t>
      </w:r>
      <w:r>
        <w:t xml:space="preserve">better understand and retrieve information about these relationships.  </w:t>
      </w:r>
    </w:p>
    <w:p w:rsidR="00D373C4" w:rsidRDefault="00D373C4" w:rsidP="00D373C4">
      <w:pPr>
        <w:ind w:left="720"/>
        <w:contextualSpacing/>
      </w:pPr>
    </w:p>
    <w:p w:rsidR="00A628CF" w:rsidRDefault="00A628CF" w:rsidP="002F71D0">
      <w:pPr>
        <w:numPr>
          <w:ilvl w:val="0"/>
          <w:numId w:val="34"/>
        </w:numPr>
        <w:contextualSpacing/>
      </w:pPr>
      <w:r>
        <w:t>As well as better defining and expanding the types of relationships that can be recorded, RDA makes provision for, and encourages, the use of “</w:t>
      </w:r>
      <w:r w:rsidRPr="00D45CB8">
        <w:rPr>
          <w:b/>
          <w:bCs/>
        </w:rPr>
        <w:t>relationships designators</w:t>
      </w:r>
      <w:r>
        <w:t>”.  These are controlled vocabulary terms that can be added to an access point in a bibliographic record to indicate the nature of the relationship between the entity in the access point, and the entity it is attached to.</w:t>
      </w:r>
    </w:p>
    <w:p w:rsidR="00A628CF" w:rsidRDefault="00A628CF" w:rsidP="00A628CF">
      <w:pPr>
        <w:contextualSpacing/>
      </w:pPr>
    </w:p>
    <w:p w:rsidR="00A628CF" w:rsidRDefault="00A628CF" w:rsidP="002F71D0">
      <w:pPr>
        <w:numPr>
          <w:ilvl w:val="0"/>
          <w:numId w:val="34"/>
        </w:numPr>
        <w:contextualSpacing/>
      </w:pPr>
      <w:r>
        <w:t>Appendix I, J, K, and L list and explain these designators.   Again, they have been divided up according to the various Group 1 entities and types of relationships mentioned above.</w:t>
      </w:r>
    </w:p>
    <w:p w:rsidR="0024607D" w:rsidRDefault="0024607D" w:rsidP="00A628CF">
      <w:pPr>
        <w:contextualSpacing/>
      </w:pPr>
    </w:p>
    <w:p w:rsidR="009E7D2E" w:rsidRDefault="007A4128" w:rsidP="00A628CF">
      <w:pPr>
        <w:contextualSpacing/>
      </w:pPr>
      <w:r>
        <w:rPr>
          <w:noProof/>
          <w:lang w:val="en-US" w:eastAsia="zh-CN" w:bidi="th-TH"/>
        </w:rPr>
        <w:pict>
          <v:shape id="_x0000_s1061" type="#_x0000_t32" style="position:absolute;margin-left:6.35pt;margin-top:10.4pt;width:437.1pt;height:0;z-index:251645952" o:connectortype="straight" strokecolor="#5f497a [2407]" strokeweight="3pt">
            <v:shadow type="perspective" color="#3f3151" opacity=".5" offset="1pt" offset2="-1pt"/>
          </v:shape>
        </w:pict>
      </w:r>
    </w:p>
    <w:p w:rsidR="009E7D2E" w:rsidRDefault="009E7D2E" w:rsidP="00A628CF">
      <w:pPr>
        <w:contextualSpacing/>
      </w:pPr>
    </w:p>
    <w:p w:rsidR="009E7D2E" w:rsidRDefault="009E7D2E" w:rsidP="00A628CF">
      <w:pPr>
        <w:contextualSpacing/>
      </w:pPr>
    </w:p>
    <w:p w:rsidR="001D792D" w:rsidRDefault="001D792D">
      <w:pPr>
        <w:spacing w:after="0" w:line="240" w:lineRule="auto"/>
      </w:pPr>
      <w:r>
        <w:br w:type="page"/>
      </w:r>
    </w:p>
    <w:p w:rsidR="009E7D2E" w:rsidRDefault="009E7D2E" w:rsidP="00A628CF">
      <w:pPr>
        <w:contextualSpacing/>
      </w:pPr>
    </w:p>
    <w:p w:rsidR="009E7D2E" w:rsidRDefault="009E7D2E" w:rsidP="00A628CF">
      <w:pPr>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1"/>
        <w:gridCol w:w="6031"/>
      </w:tblGrid>
      <w:tr w:rsidR="009E7D2E" w:rsidTr="00C30962">
        <w:tc>
          <w:tcPr>
            <w:tcW w:w="3211" w:type="dxa"/>
          </w:tcPr>
          <w:p w:rsidR="009E7D2E" w:rsidRPr="009E7D2E" w:rsidRDefault="009E7D2E" w:rsidP="009E7D2E">
            <w:pPr>
              <w:spacing w:line="240" w:lineRule="auto"/>
              <w:rPr>
                <w:b/>
                <w:bCs/>
              </w:rPr>
            </w:pPr>
            <w:r w:rsidRPr="009E7D2E">
              <w:rPr>
                <w:b/>
                <w:bCs/>
              </w:rPr>
              <w:t>RDA Section</w:t>
            </w:r>
          </w:p>
        </w:tc>
        <w:tc>
          <w:tcPr>
            <w:tcW w:w="6031" w:type="dxa"/>
          </w:tcPr>
          <w:p w:rsidR="009E7D2E" w:rsidRPr="009E7D2E" w:rsidRDefault="009E7D2E" w:rsidP="009E7D2E">
            <w:pPr>
              <w:spacing w:line="240" w:lineRule="auto"/>
              <w:rPr>
                <w:b/>
                <w:bCs/>
              </w:rPr>
            </w:pPr>
            <w:r w:rsidRPr="009E7D2E">
              <w:rPr>
                <w:b/>
                <w:bCs/>
              </w:rPr>
              <w:t>What’s in it</w:t>
            </w:r>
          </w:p>
        </w:tc>
      </w:tr>
      <w:tr w:rsidR="009E7D2E" w:rsidTr="00C30962">
        <w:tc>
          <w:tcPr>
            <w:tcW w:w="3211" w:type="dxa"/>
          </w:tcPr>
          <w:p w:rsidR="009E7D2E" w:rsidRPr="009E7D2E" w:rsidRDefault="009E7D2E" w:rsidP="009E7D2E">
            <w:pPr>
              <w:spacing w:line="240" w:lineRule="auto"/>
              <w:rPr>
                <w:b/>
                <w:bCs/>
              </w:rPr>
            </w:pPr>
            <w:r w:rsidRPr="009E7D2E">
              <w:rPr>
                <w:b/>
                <w:bCs/>
              </w:rPr>
              <w:t>1 – Recording attributes of manifestations and items</w:t>
            </w:r>
          </w:p>
        </w:tc>
        <w:tc>
          <w:tcPr>
            <w:tcW w:w="6031" w:type="dxa"/>
          </w:tcPr>
          <w:p w:rsidR="009E7D2E" w:rsidRPr="009E7D2E" w:rsidRDefault="009E7D2E" w:rsidP="009E7D2E">
            <w:pPr>
              <w:pStyle w:val="ListParagraph"/>
              <w:numPr>
                <w:ilvl w:val="0"/>
                <w:numId w:val="37"/>
              </w:numPr>
              <w:spacing w:after="0" w:line="240" w:lineRule="auto"/>
              <w:contextualSpacing/>
              <w:rPr>
                <w:iCs/>
              </w:rPr>
            </w:pPr>
            <w:r w:rsidRPr="00155395">
              <w:t xml:space="preserve">Instructions on recording the bibliographic description of </w:t>
            </w:r>
            <w:r w:rsidRPr="009E7D2E">
              <w:rPr>
                <w:i/>
                <w:iCs/>
              </w:rPr>
              <w:t xml:space="preserve">manifestations </w:t>
            </w:r>
            <w:r w:rsidRPr="00155395">
              <w:t xml:space="preserve">and </w:t>
            </w:r>
            <w:r w:rsidRPr="009E7D2E">
              <w:rPr>
                <w:i/>
              </w:rPr>
              <w:t xml:space="preserve">items – </w:t>
            </w:r>
            <w:proofErr w:type="spellStart"/>
            <w:r w:rsidRPr="009E7D2E">
              <w:rPr>
                <w:iCs/>
              </w:rPr>
              <w:t>eg</w:t>
            </w:r>
            <w:proofErr w:type="spellEnd"/>
            <w:r w:rsidRPr="009E7D2E">
              <w:rPr>
                <w:iCs/>
              </w:rPr>
              <w:t xml:space="preserve"> title, publisher, date of publications etc.</w:t>
            </w:r>
          </w:p>
        </w:tc>
      </w:tr>
      <w:tr w:rsidR="009E7D2E" w:rsidTr="00C30962">
        <w:tc>
          <w:tcPr>
            <w:tcW w:w="3211" w:type="dxa"/>
          </w:tcPr>
          <w:p w:rsidR="009E7D2E" w:rsidRPr="009E7D2E" w:rsidRDefault="009E7D2E" w:rsidP="009E7D2E">
            <w:pPr>
              <w:spacing w:line="240" w:lineRule="auto"/>
              <w:rPr>
                <w:b/>
                <w:bCs/>
              </w:rPr>
            </w:pPr>
            <w:r w:rsidRPr="009E7D2E">
              <w:rPr>
                <w:b/>
                <w:bCs/>
              </w:rPr>
              <w:t>2 - Recording Attributes of Work &amp; Expression</w:t>
            </w:r>
          </w:p>
        </w:tc>
        <w:tc>
          <w:tcPr>
            <w:tcW w:w="6031" w:type="dxa"/>
          </w:tcPr>
          <w:p w:rsidR="009E7D2E" w:rsidRDefault="009E7D2E" w:rsidP="009E7D2E">
            <w:pPr>
              <w:pStyle w:val="ListParagraph"/>
              <w:numPr>
                <w:ilvl w:val="0"/>
                <w:numId w:val="37"/>
              </w:numPr>
              <w:spacing w:after="0" w:line="240" w:lineRule="auto"/>
              <w:contextualSpacing/>
            </w:pPr>
            <w:r w:rsidRPr="00155395">
              <w:t xml:space="preserve">Instructions for recording preferred titles (uniform titles) – </w:t>
            </w:r>
            <w:proofErr w:type="spellStart"/>
            <w:r w:rsidRPr="00155395">
              <w:t>eg</w:t>
            </w:r>
            <w:proofErr w:type="spellEnd"/>
            <w:r w:rsidRPr="00155395">
              <w:t xml:space="preserve"> title of the work (note this is different to recording the title of a manifestation)</w:t>
            </w:r>
          </w:p>
          <w:p w:rsidR="009E7D2E" w:rsidRPr="00155395" w:rsidRDefault="009E7D2E" w:rsidP="009E7D2E">
            <w:pPr>
              <w:pStyle w:val="ListParagraph"/>
              <w:numPr>
                <w:ilvl w:val="0"/>
                <w:numId w:val="37"/>
              </w:numPr>
              <w:spacing w:after="0" w:line="240" w:lineRule="auto"/>
              <w:contextualSpacing/>
            </w:pPr>
            <w:r w:rsidRPr="00155395">
              <w:t xml:space="preserve">Instructions on recording </w:t>
            </w:r>
            <w:r w:rsidRPr="009E7D2E">
              <w:rPr>
                <w:i/>
                <w:iCs/>
              </w:rPr>
              <w:t xml:space="preserve">expression </w:t>
            </w:r>
            <w:r w:rsidRPr="00155395">
              <w:t xml:space="preserve">elements of the item being catalogued – </w:t>
            </w:r>
            <w:proofErr w:type="spellStart"/>
            <w:r w:rsidRPr="00155395">
              <w:t>eg</w:t>
            </w:r>
            <w:proofErr w:type="spellEnd"/>
            <w:r w:rsidRPr="00155395">
              <w:t xml:space="preserve"> how the work is expressed, language etc.</w:t>
            </w:r>
          </w:p>
        </w:tc>
      </w:tr>
      <w:tr w:rsidR="009E7D2E" w:rsidTr="00C30962">
        <w:tc>
          <w:tcPr>
            <w:tcW w:w="3211" w:type="dxa"/>
          </w:tcPr>
          <w:p w:rsidR="009E7D2E" w:rsidRPr="009E7D2E" w:rsidRDefault="009E7D2E" w:rsidP="009E7D2E">
            <w:pPr>
              <w:spacing w:line="240" w:lineRule="auto"/>
              <w:rPr>
                <w:b/>
                <w:bCs/>
              </w:rPr>
            </w:pPr>
            <w:r w:rsidRPr="009E7D2E">
              <w:rPr>
                <w:b/>
                <w:bCs/>
              </w:rPr>
              <w:t>3 - Recording Attributes of Person, Family, &amp; Corporate Body</w:t>
            </w:r>
          </w:p>
        </w:tc>
        <w:tc>
          <w:tcPr>
            <w:tcW w:w="6031" w:type="dxa"/>
          </w:tcPr>
          <w:p w:rsidR="009E7D2E" w:rsidRDefault="009E7D2E" w:rsidP="009E7D2E">
            <w:pPr>
              <w:pStyle w:val="ListParagraph"/>
              <w:numPr>
                <w:ilvl w:val="0"/>
                <w:numId w:val="36"/>
              </w:numPr>
              <w:spacing w:after="0" w:line="240" w:lineRule="auto"/>
              <w:contextualSpacing/>
            </w:pPr>
            <w:r w:rsidRPr="00155395">
              <w:t>Data elements that are recorded in name authority records</w:t>
            </w:r>
          </w:p>
          <w:p w:rsidR="009E7D2E" w:rsidRDefault="009E7D2E" w:rsidP="009E7D2E">
            <w:pPr>
              <w:pStyle w:val="ListParagraph"/>
              <w:numPr>
                <w:ilvl w:val="0"/>
                <w:numId w:val="36"/>
              </w:numPr>
              <w:spacing w:after="0" w:line="240" w:lineRule="auto"/>
              <w:contextualSpacing/>
            </w:pPr>
            <w:r>
              <w:t>Constructing access points for persons, families and corporate bodies</w:t>
            </w:r>
          </w:p>
          <w:p w:rsidR="00C30962" w:rsidRDefault="00C30962" w:rsidP="00C30962">
            <w:pPr>
              <w:pStyle w:val="ListParagraph"/>
              <w:spacing w:after="0" w:line="240" w:lineRule="auto"/>
              <w:contextualSpacing/>
            </w:pPr>
          </w:p>
          <w:p w:rsidR="009E7D2E" w:rsidRPr="00155395" w:rsidRDefault="009E7D2E" w:rsidP="009E7D2E">
            <w:pPr>
              <w:spacing w:line="240" w:lineRule="auto"/>
              <w:ind w:left="360"/>
            </w:pPr>
            <w:r>
              <w:t>NOTE: This is not about constructing access points</w:t>
            </w:r>
          </w:p>
        </w:tc>
      </w:tr>
      <w:tr w:rsidR="009E7D2E" w:rsidTr="00C30962">
        <w:tc>
          <w:tcPr>
            <w:tcW w:w="3211" w:type="dxa"/>
          </w:tcPr>
          <w:p w:rsidR="009E7D2E" w:rsidRPr="009E7D2E" w:rsidRDefault="009E7D2E" w:rsidP="009E7D2E">
            <w:pPr>
              <w:spacing w:line="240" w:lineRule="auto"/>
              <w:rPr>
                <w:b/>
                <w:bCs/>
              </w:rPr>
            </w:pPr>
            <w:r w:rsidRPr="009E7D2E">
              <w:rPr>
                <w:b/>
                <w:bCs/>
              </w:rPr>
              <w:t>4 - Recording Attributes of Concept, Object, Event &amp; Place</w:t>
            </w:r>
          </w:p>
        </w:tc>
        <w:tc>
          <w:tcPr>
            <w:tcW w:w="6031" w:type="dxa"/>
          </w:tcPr>
          <w:p w:rsidR="009E7D2E" w:rsidRPr="009E7D2E" w:rsidRDefault="009E7D2E" w:rsidP="009E7D2E">
            <w:pPr>
              <w:pStyle w:val="ListParagraph"/>
              <w:numPr>
                <w:ilvl w:val="0"/>
                <w:numId w:val="38"/>
              </w:numPr>
              <w:spacing w:after="0" w:line="240" w:lineRule="auto"/>
              <w:contextualSpacing/>
              <w:rPr>
                <w:b/>
                <w:bCs/>
              </w:rPr>
            </w:pPr>
            <w:r>
              <w:t>Data elements that are recorded in subject authority records – Not yet written</w:t>
            </w:r>
          </w:p>
        </w:tc>
      </w:tr>
      <w:tr w:rsidR="009E7D2E" w:rsidTr="00C30962">
        <w:tc>
          <w:tcPr>
            <w:tcW w:w="3211" w:type="dxa"/>
          </w:tcPr>
          <w:p w:rsidR="009E7D2E" w:rsidRPr="009E7D2E" w:rsidRDefault="009E7D2E" w:rsidP="009E7D2E">
            <w:pPr>
              <w:spacing w:line="240" w:lineRule="auto"/>
              <w:rPr>
                <w:b/>
                <w:bCs/>
              </w:rPr>
            </w:pPr>
            <w:r w:rsidRPr="009E7D2E">
              <w:rPr>
                <w:b/>
                <w:bCs/>
              </w:rPr>
              <w:t>5 - Recording Primary Relationships Between Work, Expression, Manifestation, &amp; Item</w:t>
            </w:r>
          </w:p>
        </w:tc>
        <w:tc>
          <w:tcPr>
            <w:tcW w:w="6031" w:type="dxa"/>
          </w:tcPr>
          <w:p w:rsidR="009E7D2E" w:rsidRPr="009E7D2E" w:rsidRDefault="009E7D2E" w:rsidP="009E7D2E">
            <w:pPr>
              <w:pStyle w:val="ListParagraph"/>
              <w:numPr>
                <w:ilvl w:val="0"/>
                <w:numId w:val="38"/>
              </w:numPr>
              <w:spacing w:after="0" w:line="240" w:lineRule="auto"/>
              <w:contextualSpacing/>
              <w:rPr>
                <w:b/>
                <w:bCs/>
              </w:rPr>
            </w:pPr>
            <w:r>
              <w:t>Broadly about making links between work, expression, manifestation and item by using identifiers, authorised access points and composite descriptions</w:t>
            </w:r>
          </w:p>
        </w:tc>
      </w:tr>
      <w:tr w:rsidR="009E7D2E" w:rsidTr="00C30962">
        <w:tc>
          <w:tcPr>
            <w:tcW w:w="3211" w:type="dxa"/>
          </w:tcPr>
          <w:p w:rsidR="009E7D2E" w:rsidRPr="009E7D2E" w:rsidRDefault="009E7D2E" w:rsidP="009E7D2E">
            <w:pPr>
              <w:spacing w:line="240" w:lineRule="auto"/>
              <w:rPr>
                <w:b/>
                <w:bCs/>
              </w:rPr>
            </w:pPr>
            <w:r w:rsidRPr="009E7D2E">
              <w:rPr>
                <w:b/>
                <w:bCs/>
              </w:rPr>
              <w:t>6 - Recording Relationships to Persons, Families, &amp; Corporate Bodies</w:t>
            </w:r>
          </w:p>
        </w:tc>
        <w:tc>
          <w:tcPr>
            <w:tcW w:w="6031" w:type="dxa"/>
          </w:tcPr>
          <w:p w:rsidR="009E7D2E" w:rsidRPr="009E7D2E" w:rsidRDefault="009E7D2E" w:rsidP="009E7D2E">
            <w:pPr>
              <w:pStyle w:val="ListParagraph"/>
              <w:numPr>
                <w:ilvl w:val="0"/>
                <w:numId w:val="38"/>
              </w:numPr>
              <w:spacing w:after="0" w:line="240" w:lineRule="auto"/>
              <w:contextualSpacing/>
              <w:rPr>
                <w:rFonts w:eastAsia="PMingLiU"/>
                <w:lang w:eastAsia="zh-TW"/>
              </w:rPr>
            </w:pPr>
            <w:r w:rsidRPr="009E7D2E">
              <w:rPr>
                <w:rFonts w:eastAsia="PMingLiU"/>
                <w:lang w:eastAsia="zh-TW"/>
              </w:rPr>
              <w:t xml:space="preserve">Choice of access points for persons, families and corporate bodies </w:t>
            </w:r>
          </w:p>
          <w:p w:rsidR="009E7D2E" w:rsidRPr="009E7D2E" w:rsidRDefault="009E7D2E" w:rsidP="009E7D2E">
            <w:pPr>
              <w:pStyle w:val="ListParagraph"/>
              <w:numPr>
                <w:ilvl w:val="0"/>
                <w:numId w:val="38"/>
              </w:numPr>
              <w:spacing w:after="0" w:line="240" w:lineRule="auto"/>
              <w:contextualSpacing/>
              <w:rPr>
                <w:rFonts w:eastAsia="PMingLiU"/>
                <w:lang w:eastAsia="zh-TW"/>
              </w:rPr>
            </w:pPr>
            <w:r w:rsidRPr="009E7D2E">
              <w:rPr>
                <w:rFonts w:eastAsia="PMingLiU"/>
                <w:lang w:eastAsia="zh-TW"/>
              </w:rPr>
              <w:t>Relationships established through ‘relationship designators’</w:t>
            </w:r>
          </w:p>
        </w:tc>
      </w:tr>
      <w:tr w:rsidR="009E7D2E" w:rsidTr="00C30962">
        <w:tc>
          <w:tcPr>
            <w:tcW w:w="3211" w:type="dxa"/>
          </w:tcPr>
          <w:p w:rsidR="009E7D2E" w:rsidRPr="009E7D2E" w:rsidRDefault="009E7D2E" w:rsidP="009E7D2E">
            <w:pPr>
              <w:spacing w:line="240" w:lineRule="auto"/>
              <w:rPr>
                <w:b/>
                <w:bCs/>
              </w:rPr>
            </w:pPr>
            <w:r w:rsidRPr="009E7D2E">
              <w:rPr>
                <w:b/>
                <w:bCs/>
              </w:rPr>
              <w:t>7 - Recording Relationships to Concepts, Objects, Events, &amp; Places</w:t>
            </w:r>
          </w:p>
        </w:tc>
        <w:tc>
          <w:tcPr>
            <w:tcW w:w="6031" w:type="dxa"/>
          </w:tcPr>
          <w:p w:rsidR="009E7D2E" w:rsidRPr="009E7D2E" w:rsidRDefault="009E7D2E" w:rsidP="009E7D2E">
            <w:pPr>
              <w:pStyle w:val="ListParagraph"/>
              <w:numPr>
                <w:ilvl w:val="0"/>
                <w:numId w:val="39"/>
              </w:numPr>
              <w:spacing w:after="0" w:line="240" w:lineRule="auto"/>
              <w:contextualSpacing/>
              <w:rPr>
                <w:b/>
                <w:bCs/>
              </w:rPr>
            </w:pPr>
            <w:r>
              <w:t>Not yet written</w:t>
            </w:r>
          </w:p>
          <w:p w:rsidR="009E7D2E" w:rsidRPr="009E7D2E" w:rsidRDefault="009E7D2E" w:rsidP="009E7D2E">
            <w:pPr>
              <w:pStyle w:val="ListParagraph"/>
              <w:numPr>
                <w:ilvl w:val="0"/>
                <w:numId w:val="39"/>
              </w:numPr>
              <w:spacing w:after="0" w:line="240" w:lineRule="auto"/>
              <w:contextualSpacing/>
              <w:rPr>
                <w:b/>
                <w:bCs/>
              </w:rPr>
            </w:pPr>
            <w:r>
              <w:t>Choice of subjects</w:t>
            </w:r>
          </w:p>
        </w:tc>
      </w:tr>
      <w:tr w:rsidR="009E7D2E" w:rsidTr="00C30962">
        <w:tc>
          <w:tcPr>
            <w:tcW w:w="3211" w:type="dxa"/>
          </w:tcPr>
          <w:p w:rsidR="009E7D2E" w:rsidRPr="009E7D2E" w:rsidRDefault="009E7D2E" w:rsidP="009E7D2E">
            <w:pPr>
              <w:spacing w:line="240" w:lineRule="auto"/>
              <w:rPr>
                <w:b/>
                <w:bCs/>
              </w:rPr>
            </w:pPr>
            <w:r w:rsidRPr="009E7D2E">
              <w:rPr>
                <w:b/>
                <w:bCs/>
              </w:rPr>
              <w:t>8 - Recording Relationships between Works, Expressions, Manifestations, &amp; Items</w:t>
            </w:r>
          </w:p>
        </w:tc>
        <w:tc>
          <w:tcPr>
            <w:tcW w:w="6031" w:type="dxa"/>
          </w:tcPr>
          <w:p w:rsidR="009E7D2E" w:rsidRPr="009E7D2E" w:rsidRDefault="009E7D2E" w:rsidP="009E7D2E">
            <w:pPr>
              <w:pStyle w:val="ListParagraph"/>
              <w:numPr>
                <w:ilvl w:val="0"/>
                <w:numId w:val="39"/>
              </w:numPr>
              <w:spacing w:after="0" w:line="240" w:lineRule="auto"/>
              <w:contextualSpacing/>
              <w:rPr>
                <w:b/>
                <w:bCs/>
              </w:rPr>
            </w:pPr>
            <w:r>
              <w:t>Relationships between work to work ; expression to express etc. by using identifiers, access points and descriptions</w:t>
            </w:r>
          </w:p>
        </w:tc>
      </w:tr>
      <w:tr w:rsidR="009E7D2E" w:rsidTr="00C30962">
        <w:tc>
          <w:tcPr>
            <w:tcW w:w="3211" w:type="dxa"/>
          </w:tcPr>
          <w:p w:rsidR="009E7D2E" w:rsidRPr="009E7D2E" w:rsidRDefault="009E7D2E" w:rsidP="009E7D2E">
            <w:pPr>
              <w:spacing w:line="240" w:lineRule="auto"/>
              <w:rPr>
                <w:b/>
                <w:bCs/>
              </w:rPr>
            </w:pPr>
            <w:r w:rsidRPr="009E7D2E">
              <w:rPr>
                <w:b/>
                <w:bCs/>
              </w:rPr>
              <w:t>9 - Recording Relationships between Persons, Families, &amp; Corporate Bodies</w:t>
            </w:r>
          </w:p>
        </w:tc>
        <w:tc>
          <w:tcPr>
            <w:tcW w:w="6031" w:type="dxa"/>
          </w:tcPr>
          <w:p w:rsidR="009E7D2E" w:rsidRPr="00BB4062" w:rsidRDefault="009E7D2E" w:rsidP="009E7D2E">
            <w:pPr>
              <w:pStyle w:val="ListParagraph"/>
              <w:numPr>
                <w:ilvl w:val="0"/>
                <w:numId w:val="39"/>
              </w:numPr>
              <w:spacing w:after="0" w:line="240" w:lineRule="auto"/>
              <w:contextualSpacing/>
            </w:pPr>
            <w:r w:rsidRPr="00BB4062">
              <w:t xml:space="preserve">Instructions for recording information about pseudonyms, former and later names and variant names </w:t>
            </w:r>
          </w:p>
        </w:tc>
      </w:tr>
      <w:tr w:rsidR="009E7D2E" w:rsidTr="00C30962">
        <w:tc>
          <w:tcPr>
            <w:tcW w:w="3211" w:type="dxa"/>
          </w:tcPr>
          <w:p w:rsidR="009E7D2E" w:rsidRPr="009E7D2E" w:rsidRDefault="009E7D2E" w:rsidP="009E7D2E">
            <w:pPr>
              <w:spacing w:line="240" w:lineRule="auto"/>
              <w:rPr>
                <w:b/>
                <w:bCs/>
              </w:rPr>
            </w:pPr>
            <w:r w:rsidRPr="009E7D2E">
              <w:rPr>
                <w:b/>
                <w:bCs/>
              </w:rPr>
              <w:t>10 - Recording Relationships between Concepts, Objects, Events, &amp; Places</w:t>
            </w:r>
          </w:p>
        </w:tc>
        <w:tc>
          <w:tcPr>
            <w:tcW w:w="6031" w:type="dxa"/>
          </w:tcPr>
          <w:p w:rsidR="009E7D2E" w:rsidRPr="009E7D2E" w:rsidRDefault="009E7D2E" w:rsidP="009E7D2E">
            <w:pPr>
              <w:pStyle w:val="ListParagraph"/>
              <w:numPr>
                <w:ilvl w:val="0"/>
                <w:numId w:val="38"/>
              </w:numPr>
              <w:spacing w:after="0" w:line="240" w:lineRule="auto"/>
              <w:contextualSpacing/>
              <w:rPr>
                <w:b/>
                <w:bCs/>
              </w:rPr>
            </w:pPr>
            <w:r>
              <w:t>Not yet written</w:t>
            </w:r>
          </w:p>
        </w:tc>
      </w:tr>
    </w:tbl>
    <w:p w:rsidR="002F74DE" w:rsidRDefault="002F74DE" w:rsidP="00A628CF">
      <w:pPr>
        <w:contextualSpacing/>
      </w:pPr>
    </w:p>
    <w:p w:rsidR="00B2234D" w:rsidRDefault="00B2234D" w:rsidP="00A628CF">
      <w:pPr>
        <w:contextualSpacing/>
      </w:pPr>
    </w:p>
    <w:p w:rsidR="00C30962" w:rsidRDefault="00C30962" w:rsidP="00D62E78">
      <w:pPr>
        <w:contextualSpacing/>
        <w:rPr>
          <w:b/>
          <w:bCs/>
        </w:rPr>
      </w:pPr>
    </w:p>
    <w:p w:rsidR="00D62E78" w:rsidRDefault="000809A2" w:rsidP="001D792D">
      <w:pPr>
        <w:pStyle w:val="Heading4"/>
      </w:pPr>
      <w:r>
        <w:rPr>
          <w:noProof/>
          <w:lang w:val="en-US" w:eastAsia="zh-CN" w:bidi="th-TH"/>
        </w:rPr>
        <w:lastRenderedPageBreak/>
        <w:drawing>
          <wp:anchor distT="0" distB="0" distL="114300" distR="114300" simplePos="0" relativeHeight="251670528" behindDoc="0" locked="0" layoutInCell="1" allowOverlap="1">
            <wp:simplePos x="0" y="0"/>
            <wp:positionH relativeFrom="column">
              <wp:posOffset>3743325</wp:posOffset>
            </wp:positionH>
            <wp:positionV relativeFrom="paragraph">
              <wp:posOffset>95885</wp:posOffset>
            </wp:positionV>
            <wp:extent cx="1619885" cy="1213485"/>
            <wp:effectExtent l="19050" t="19050" r="18415" b="24765"/>
            <wp:wrapSquare wrapText="bothSides"/>
            <wp:docPr id="70" name="Picture 70"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yBitmap"/>
                    <pic:cNvPicPr>
                      <a:picLocks noChangeAspect="1" noChangeArrowheads="1"/>
                    </pic:cNvPicPr>
                  </pic:nvPicPr>
                  <pic:blipFill>
                    <a:blip r:embed="rId20" cstate="print"/>
                    <a:srcRect/>
                    <a:stretch>
                      <a:fillRect/>
                    </a:stretch>
                  </pic:blipFill>
                  <pic:spPr bwMode="auto">
                    <a:xfrm>
                      <a:off x="0" y="0"/>
                      <a:ext cx="1619885" cy="1213485"/>
                    </a:xfrm>
                    <a:prstGeom prst="rect">
                      <a:avLst/>
                    </a:prstGeom>
                    <a:noFill/>
                    <a:ln w="12700">
                      <a:solidFill>
                        <a:srgbClr val="000000"/>
                      </a:solidFill>
                      <a:miter lim="800000"/>
                      <a:headEnd/>
                      <a:tailEnd/>
                    </a:ln>
                  </pic:spPr>
                </pic:pic>
              </a:graphicData>
            </a:graphic>
          </wp:anchor>
        </w:drawing>
      </w:r>
      <w:r w:rsidR="00E34E37">
        <w:t xml:space="preserve">Marc </w:t>
      </w:r>
      <w:r w:rsidR="00F426EA">
        <w:t xml:space="preserve">and ISBD </w:t>
      </w:r>
      <w:r w:rsidR="00E34E37">
        <w:t>changes</w:t>
      </w:r>
    </w:p>
    <w:p w:rsidR="00E34E37" w:rsidRPr="00D46E64" w:rsidRDefault="002C6BEF" w:rsidP="00502F3F">
      <w:pPr>
        <w:numPr>
          <w:ilvl w:val="0"/>
          <w:numId w:val="23"/>
        </w:numPr>
        <w:contextualSpacing/>
        <w:rPr>
          <w:b/>
          <w:bCs/>
        </w:rPr>
      </w:pPr>
      <w:r w:rsidRPr="002C6BEF">
        <w:t>Although</w:t>
      </w:r>
      <w:r>
        <w:t xml:space="preserve"> RDA is compatible with </w:t>
      </w:r>
      <w:r w:rsidR="00C30962">
        <w:t>MARC</w:t>
      </w:r>
      <w:r>
        <w:t xml:space="preserve"> and ISBD it is independent of these.  This means RDA’s element structure is designed so that data can be encoded</w:t>
      </w:r>
      <w:r w:rsidR="00D46E64">
        <w:t xml:space="preserve"> in other formats.  The advantage of this</w:t>
      </w:r>
    </w:p>
    <w:p w:rsidR="00D46E64" w:rsidRPr="00D46E64" w:rsidRDefault="00D46E64" w:rsidP="00502F3F">
      <w:pPr>
        <w:numPr>
          <w:ilvl w:val="1"/>
          <w:numId w:val="23"/>
        </w:numPr>
        <w:contextualSpacing/>
        <w:rPr>
          <w:b/>
          <w:bCs/>
        </w:rPr>
      </w:pPr>
      <w:r>
        <w:t>Changing or replacing marc with not require changes to RDA</w:t>
      </w:r>
      <w:r w:rsidR="00D62E78" w:rsidRPr="00D62E78">
        <w:t xml:space="preserve"> </w:t>
      </w:r>
    </w:p>
    <w:p w:rsidR="00D46E64" w:rsidRPr="00E213BE" w:rsidRDefault="00D46E64" w:rsidP="00502F3F">
      <w:pPr>
        <w:numPr>
          <w:ilvl w:val="1"/>
          <w:numId w:val="23"/>
        </w:numPr>
        <w:contextualSpacing/>
        <w:rPr>
          <w:b/>
          <w:bCs/>
        </w:rPr>
      </w:pPr>
      <w:r>
        <w:t>Non-library communities can potentially use RDA to describe their resources</w:t>
      </w:r>
    </w:p>
    <w:p w:rsidR="00E213BE" w:rsidRDefault="00E213BE" w:rsidP="00E213BE">
      <w:pPr>
        <w:ind w:left="1440"/>
        <w:contextualSpacing/>
        <w:rPr>
          <w:b/>
          <w:bCs/>
        </w:rPr>
      </w:pPr>
    </w:p>
    <w:p w:rsidR="00D62E78" w:rsidRDefault="00E34E37" w:rsidP="001D792D">
      <w:pPr>
        <w:pStyle w:val="Heading4"/>
      </w:pPr>
      <w:r>
        <w:t>GMD change</w:t>
      </w:r>
    </w:p>
    <w:p w:rsidR="00E34E37" w:rsidRPr="00E213BE" w:rsidRDefault="00D46E64" w:rsidP="00D62E78">
      <w:pPr>
        <w:numPr>
          <w:ilvl w:val="0"/>
          <w:numId w:val="23"/>
        </w:numPr>
        <w:contextualSpacing/>
        <w:rPr>
          <w:b/>
          <w:bCs/>
        </w:rPr>
      </w:pPr>
      <w:r>
        <w:t xml:space="preserve">We will no longer use the AACR2 </w:t>
      </w:r>
      <w:r w:rsidR="00C05033">
        <w:t>GMD terms. There are three new elements instead –</w:t>
      </w:r>
      <w:r w:rsidR="00C30962">
        <w:t xml:space="preserve"> Content, Media and Carrier.</w:t>
      </w:r>
      <w:r w:rsidR="00C05033">
        <w:t xml:space="preserve"> </w:t>
      </w:r>
      <w:r w:rsidR="00C30962">
        <w:t>W</w:t>
      </w:r>
      <w:r w:rsidR="00C05033">
        <w:t>e will look at them more in the next module</w:t>
      </w:r>
    </w:p>
    <w:p w:rsidR="00E213BE" w:rsidRDefault="00E213BE" w:rsidP="00E213BE">
      <w:pPr>
        <w:ind w:left="720"/>
        <w:contextualSpacing/>
        <w:rPr>
          <w:b/>
          <w:bCs/>
        </w:rPr>
      </w:pPr>
    </w:p>
    <w:p w:rsidR="002F74DE" w:rsidRPr="00D62E78" w:rsidRDefault="007A4128" w:rsidP="0013228E">
      <w:pPr>
        <w:contextualSpacing/>
        <w:rPr>
          <w:b/>
          <w:bCs/>
        </w:rPr>
      </w:pPr>
      <w:r w:rsidRPr="007A4128">
        <w:rPr>
          <w:noProof/>
          <w:lang w:val="en-US" w:eastAsia="zh-CN" w:bidi="th-TH"/>
        </w:rPr>
        <w:pict>
          <v:shape id="_x0000_s1063" type="#_x0000_t32" style="position:absolute;margin-left:7.9pt;margin-top:8.05pt;width:437.1pt;height:0;z-index:251646976" o:connectortype="straight" strokecolor="#5f497a [2407]" strokeweight="3pt">
            <v:shadow type="perspective" color="#3f3151" opacity=".5" offset="1pt" offset2="-1pt"/>
          </v:shape>
        </w:pict>
      </w:r>
    </w:p>
    <w:p w:rsidR="00D62E78" w:rsidRDefault="001D792D" w:rsidP="001D792D">
      <w:pPr>
        <w:pStyle w:val="Heading3"/>
      </w:pPr>
      <w:r>
        <w:rPr>
          <w:noProof/>
          <w:lang w:val="en-US" w:eastAsia="zh-CN" w:bidi="th-TH"/>
        </w:rPr>
        <w:drawing>
          <wp:anchor distT="0" distB="0" distL="114300" distR="114300" simplePos="0" relativeHeight="251673600" behindDoc="0" locked="0" layoutInCell="1" allowOverlap="1">
            <wp:simplePos x="0" y="0"/>
            <wp:positionH relativeFrom="column">
              <wp:posOffset>1114425</wp:posOffset>
            </wp:positionH>
            <wp:positionV relativeFrom="paragraph">
              <wp:posOffset>535305</wp:posOffset>
            </wp:positionV>
            <wp:extent cx="2628900" cy="1927225"/>
            <wp:effectExtent l="19050" t="19050" r="19050" b="15875"/>
            <wp:wrapSquare wrapText="bothSides"/>
            <wp:docPr id="75" name="Picture 75" descr="~My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yBitmap"/>
                    <pic:cNvPicPr>
                      <a:picLocks noChangeAspect="1" noChangeArrowheads="1"/>
                    </pic:cNvPicPr>
                  </pic:nvPicPr>
                  <pic:blipFill>
                    <a:blip r:embed="rId21" cstate="print"/>
                    <a:srcRect/>
                    <a:stretch>
                      <a:fillRect/>
                    </a:stretch>
                  </pic:blipFill>
                  <pic:spPr bwMode="auto">
                    <a:xfrm>
                      <a:off x="0" y="0"/>
                      <a:ext cx="2628900" cy="1927225"/>
                    </a:xfrm>
                    <a:prstGeom prst="rect">
                      <a:avLst/>
                    </a:prstGeom>
                    <a:noFill/>
                    <a:ln w="12700">
                      <a:solidFill>
                        <a:srgbClr val="000000"/>
                      </a:solidFill>
                      <a:miter lim="800000"/>
                      <a:headEnd/>
                      <a:tailEnd/>
                    </a:ln>
                  </pic:spPr>
                </pic:pic>
              </a:graphicData>
            </a:graphic>
          </wp:anchor>
        </w:drawing>
      </w:r>
      <w:r w:rsidR="007A4128">
        <w:rPr>
          <w:noProof/>
          <w:lang w:val="en-US" w:eastAsia="zh-CN" w:bidi="th-TH"/>
        </w:rPr>
        <w:pict>
          <v:shape id="_x0000_s1100" type="#_x0000_t32" style="position:absolute;margin-left:7.9pt;margin-top:220.65pt;width:437.1pt;height:0;z-index:251674624;mso-position-horizontal-relative:text;mso-position-vertical-relative:text" o:connectortype="straight" strokecolor="#5f497a [2407]" strokeweight="3pt">
            <v:shadow type="perspective" color="#3f3151" opacity=".5" offset="1pt" offset2="-1pt"/>
          </v:shape>
        </w:pict>
      </w:r>
      <w:r>
        <w:t>Summary</w:t>
      </w:r>
      <w:r w:rsidR="009E7D2E">
        <w:br w:type="page"/>
      </w:r>
      <w:r w:rsidR="00F47706" w:rsidRPr="00D45CB8">
        <w:lastRenderedPageBreak/>
        <w:t>Diff</w:t>
      </w:r>
      <w:r w:rsidR="00D62E78">
        <w:t>erences from AACR2: Structure</w:t>
      </w:r>
    </w:p>
    <w:p w:rsidR="00D35D7F" w:rsidRDefault="007A4128" w:rsidP="00D62E78">
      <w:pPr>
        <w:pStyle w:val="Heading1"/>
        <w:jc w:val="center"/>
        <w:rPr>
          <w:i/>
          <w:iCs/>
        </w:rPr>
      </w:pPr>
      <w:r w:rsidRPr="007A4128">
        <w:rPr>
          <w:i/>
          <w:iCs/>
          <w:noProof/>
          <w:lang w:eastAsia="zh-TW"/>
        </w:rPr>
        <w:pict>
          <v:shape id="_x0000_s1098" type="#_x0000_t202" style="position:absolute;left:0;text-align:left;margin-left:329.3pt;margin-top:2.25pt;width:118.7pt;height:25.35pt;z-index:251672576;mso-width-relative:margin;mso-height-relative:margin">
            <v:textbox>
              <w:txbxContent>
                <w:p w:rsidR="005A6137" w:rsidRDefault="005A6137" w:rsidP="00716E7F">
                  <w:pPr>
                    <w:jc w:val="center"/>
                  </w:pPr>
                  <w:r>
                    <w:t>Handbook: Page 146</w:t>
                  </w:r>
                </w:p>
              </w:txbxContent>
            </v:textbox>
          </v:shape>
        </w:pict>
      </w:r>
      <w:r w:rsidR="00F47706" w:rsidRPr="00D45CB8">
        <w:rPr>
          <w:i/>
          <w:iCs/>
        </w:rPr>
        <w:t>Quiz</w:t>
      </w:r>
    </w:p>
    <w:p w:rsidR="002F74DE" w:rsidRPr="002F74DE" w:rsidRDefault="002F74DE" w:rsidP="0013228E">
      <w:pPr>
        <w:contextualSpacing/>
        <w:rPr>
          <w:sz w:val="24"/>
          <w:szCs w:val="24"/>
        </w:rPr>
      </w:pPr>
      <w:r>
        <w:rPr>
          <w:sz w:val="24"/>
          <w:szCs w:val="24"/>
        </w:rPr>
        <w:t xml:space="preserve">These questions can be asked as a group exercise or can be answered individually as a </w:t>
      </w:r>
      <w:proofErr w:type="spellStart"/>
      <w:r>
        <w:rPr>
          <w:sz w:val="24"/>
          <w:szCs w:val="24"/>
        </w:rPr>
        <w:t>Powerpoint</w:t>
      </w:r>
      <w:proofErr w:type="spellEnd"/>
      <w:r>
        <w:rPr>
          <w:sz w:val="24"/>
          <w:szCs w:val="24"/>
        </w:rPr>
        <w:t xml:space="preserve"> quiz</w:t>
      </w:r>
    </w:p>
    <w:p w:rsidR="00F47706" w:rsidRDefault="00F47706" w:rsidP="0013228E">
      <w:pPr>
        <w:contextualSpacing/>
      </w:pPr>
    </w:p>
    <w:p w:rsidR="00F47706" w:rsidRPr="00F47706" w:rsidRDefault="00F47706" w:rsidP="00F47706">
      <w:pPr>
        <w:numPr>
          <w:ilvl w:val="0"/>
          <w:numId w:val="10"/>
        </w:numPr>
        <w:contextualSpacing/>
        <w:rPr>
          <w:lang w:val="en-US"/>
        </w:rPr>
      </w:pPr>
      <w:r>
        <w:t>The instructions in AACR2 form the basis for the instructions in RDA</w:t>
      </w:r>
    </w:p>
    <w:p w:rsidR="00F47706" w:rsidRPr="00843906" w:rsidRDefault="00F47706" w:rsidP="00F47706">
      <w:pPr>
        <w:numPr>
          <w:ilvl w:val="1"/>
          <w:numId w:val="10"/>
        </w:numPr>
        <w:contextualSpacing/>
        <w:rPr>
          <w:b/>
          <w:bCs/>
          <w:color w:val="FF0000"/>
          <w:lang w:val="en-US"/>
        </w:rPr>
      </w:pPr>
      <w:r w:rsidRPr="00843906">
        <w:rPr>
          <w:b/>
          <w:bCs/>
          <w:color w:val="FF0000"/>
        </w:rPr>
        <w:t>True</w:t>
      </w:r>
    </w:p>
    <w:p w:rsidR="00F47706" w:rsidRPr="00907BCF" w:rsidRDefault="00F47706" w:rsidP="00F47706">
      <w:pPr>
        <w:numPr>
          <w:ilvl w:val="1"/>
          <w:numId w:val="10"/>
        </w:numPr>
        <w:contextualSpacing/>
        <w:rPr>
          <w:lang w:val="en-US"/>
        </w:rPr>
      </w:pPr>
      <w:r>
        <w:t>False</w:t>
      </w:r>
    </w:p>
    <w:p w:rsidR="00907BCF" w:rsidRPr="00F47706" w:rsidRDefault="00907BCF" w:rsidP="00907BCF">
      <w:pPr>
        <w:ind w:left="1440"/>
        <w:contextualSpacing/>
        <w:rPr>
          <w:lang w:val="en-US"/>
        </w:rPr>
      </w:pPr>
    </w:p>
    <w:p w:rsidR="00F47706" w:rsidRDefault="007E0E81" w:rsidP="00F47706">
      <w:pPr>
        <w:contextualSpacing/>
      </w:pPr>
      <w:r>
        <w:t>Although the structure has change</w:t>
      </w:r>
      <w:r w:rsidR="00F96CE5">
        <w:t>d</w:t>
      </w:r>
      <w:r>
        <w:t xml:space="preserve"> significantly m</w:t>
      </w:r>
      <w:r w:rsidR="00843906">
        <w:t>any of the instructions have not changed much</w:t>
      </w:r>
      <w:r>
        <w:t>.</w:t>
      </w:r>
      <w:r w:rsidR="00843906">
        <w:t xml:space="preserve"> </w:t>
      </w:r>
      <w:r>
        <w:t>They</w:t>
      </w:r>
      <w:r w:rsidR="00843906">
        <w:t xml:space="preserve"> may be reworded to make them easier to understand</w:t>
      </w:r>
    </w:p>
    <w:p w:rsidR="00907BCF" w:rsidRDefault="00907BCF" w:rsidP="00F47706">
      <w:pPr>
        <w:contextualSpacing/>
      </w:pPr>
    </w:p>
    <w:p w:rsidR="00907BCF" w:rsidRDefault="00907BCF" w:rsidP="00F47706">
      <w:pPr>
        <w:contextualSpacing/>
      </w:pPr>
    </w:p>
    <w:p w:rsidR="00C30962" w:rsidRDefault="00C30962" w:rsidP="00AC2180">
      <w:pPr>
        <w:numPr>
          <w:ilvl w:val="0"/>
          <w:numId w:val="10"/>
        </w:numPr>
        <w:contextualSpacing/>
        <w:rPr>
          <w:lang w:val="en-US"/>
        </w:rPr>
      </w:pPr>
      <w:r>
        <w:rPr>
          <w:lang w:val="en-US"/>
        </w:rPr>
        <w:t>AACR2 is structured on FRBR/FRAD</w:t>
      </w:r>
    </w:p>
    <w:p w:rsidR="00C30962" w:rsidRDefault="00135516" w:rsidP="00C30962">
      <w:pPr>
        <w:numPr>
          <w:ilvl w:val="1"/>
          <w:numId w:val="10"/>
        </w:numPr>
        <w:contextualSpacing/>
        <w:rPr>
          <w:lang w:val="en-US"/>
        </w:rPr>
      </w:pPr>
      <w:r>
        <w:rPr>
          <w:lang w:val="en-US"/>
        </w:rPr>
        <w:t>True</w:t>
      </w:r>
    </w:p>
    <w:p w:rsidR="00135516" w:rsidRPr="00135516" w:rsidRDefault="00135516" w:rsidP="00C30962">
      <w:pPr>
        <w:numPr>
          <w:ilvl w:val="1"/>
          <w:numId w:val="10"/>
        </w:numPr>
        <w:contextualSpacing/>
        <w:rPr>
          <w:b/>
          <w:bCs/>
          <w:color w:val="FF0000"/>
          <w:lang w:val="en-US"/>
        </w:rPr>
      </w:pPr>
      <w:r w:rsidRPr="00135516">
        <w:rPr>
          <w:b/>
          <w:bCs/>
          <w:color w:val="FF0000"/>
          <w:lang w:val="en-US"/>
        </w:rPr>
        <w:t>False</w:t>
      </w:r>
    </w:p>
    <w:p w:rsidR="00135516" w:rsidRDefault="00135516" w:rsidP="00135516">
      <w:pPr>
        <w:contextualSpacing/>
        <w:rPr>
          <w:lang w:val="en-US"/>
        </w:rPr>
      </w:pPr>
    </w:p>
    <w:p w:rsidR="00135516" w:rsidRDefault="00135516" w:rsidP="00135516">
      <w:pPr>
        <w:contextualSpacing/>
        <w:rPr>
          <w:lang w:val="en-US"/>
        </w:rPr>
      </w:pPr>
      <w:r w:rsidRPr="00135516">
        <w:rPr>
          <w:lang w:val="en-US"/>
        </w:rPr>
        <w:t xml:space="preserve">AACR2 is arranged according to ISBD elements and a set of resource formats.  RDA is structured on the FRBR and FRAD models.  </w:t>
      </w:r>
    </w:p>
    <w:p w:rsidR="00135516" w:rsidRDefault="00135516" w:rsidP="00135516">
      <w:pPr>
        <w:contextualSpacing/>
        <w:rPr>
          <w:lang w:val="en-US"/>
        </w:rPr>
      </w:pPr>
    </w:p>
    <w:p w:rsidR="00135516" w:rsidRPr="00C30962" w:rsidRDefault="00135516" w:rsidP="00135516">
      <w:pPr>
        <w:contextualSpacing/>
        <w:rPr>
          <w:lang w:val="en-US"/>
        </w:rPr>
      </w:pPr>
    </w:p>
    <w:p w:rsidR="00AC2180" w:rsidRPr="00F47706" w:rsidRDefault="00AC2180" w:rsidP="00AC2180">
      <w:pPr>
        <w:numPr>
          <w:ilvl w:val="0"/>
          <w:numId w:val="10"/>
        </w:numPr>
        <w:contextualSpacing/>
        <w:rPr>
          <w:lang w:val="en-US"/>
        </w:rPr>
      </w:pPr>
      <w:r>
        <w:t>RDA is format neutral, this means...</w:t>
      </w:r>
    </w:p>
    <w:p w:rsidR="00AC2180" w:rsidRPr="00F47706" w:rsidRDefault="00AC2180" w:rsidP="00AC2180">
      <w:pPr>
        <w:numPr>
          <w:ilvl w:val="1"/>
          <w:numId w:val="10"/>
        </w:numPr>
        <w:contextualSpacing/>
        <w:rPr>
          <w:lang w:val="en-US"/>
        </w:rPr>
      </w:pPr>
      <w:r>
        <w:t>Instructions are laid out by format</w:t>
      </w:r>
    </w:p>
    <w:p w:rsidR="00AC2180" w:rsidRPr="00F47706" w:rsidRDefault="00AC2180" w:rsidP="00AC2180">
      <w:pPr>
        <w:numPr>
          <w:ilvl w:val="1"/>
          <w:numId w:val="10"/>
        </w:numPr>
        <w:contextualSpacing/>
        <w:rPr>
          <w:lang w:val="en-US"/>
        </w:rPr>
      </w:pPr>
      <w:r>
        <w:t>Format is not considered at all</w:t>
      </w:r>
    </w:p>
    <w:p w:rsidR="00AC2180" w:rsidRPr="00907BCF" w:rsidRDefault="00AC2180" w:rsidP="00AC2180">
      <w:pPr>
        <w:numPr>
          <w:ilvl w:val="1"/>
          <w:numId w:val="10"/>
        </w:numPr>
        <w:contextualSpacing/>
        <w:rPr>
          <w:b/>
          <w:bCs/>
          <w:color w:val="FF0000"/>
          <w:lang w:val="en-US"/>
        </w:rPr>
      </w:pPr>
      <w:r w:rsidRPr="00257CEC">
        <w:rPr>
          <w:b/>
          <w:bCs/>
          <w:color w:val="FF0000"/>
        </w:rPr>
        <w:t>Instructions give more emphasis to intellectual content than physical format</w:t>
      </w:r>
    </w:p>
    <w:p w:rsidR="00135516" w:rsidRPr="00257CEC" w:rsidRDefault="00135516" w:rsidP="00907BCF">
      <w:pPr>
        <w:ind w:left="1440"/>
        <w:contextualSpacing/>
        <w:rPr>
          <w:b/>
          <w:bCs/>
          <w:color w:val="FF0000"/>
          <w:lang w:val="en-US"/>
        </w:rPr>
      </w:pPr>
    </w:p>
    <w:p w:rsidR="00843906" w:rsidRPr="00431D7B" w:rsidRDefault="00257CEC" w:rsidP="00F47706">
      <w:pPr>
        <w:contextualSpacing/>
      </w:pPr>
      <w:r>
        <w:t>RDA sees bibliographic data as a set of elements that provide information about a resource.  Format is one of those elements rather than the thing that defines the whole structure of the record</w:t>
      </w:r>
      <w:r w:rsidR="00431D7B">
        <w:t xml:space="preserve">.  There is no one single section to go to in RDA where you will find all the instructions for cataloguing a particular format or material.  It assumes that whatever you are describing will have a common set of </w:t>
      </w:r>
      <w:r w:rsidR="00431D7B">
        <w:rPr>
          <w:i/>
          <w:iCs/>
        </w:rPr>
        <w:t xml:space="preserve">content </w:t>
      </w:r>
      <w:r w:rsidR="00431D7B">
        <w:t>elements, such as title, creator, date etc. so it is arranged according to these elements</w:t>
      </w:r>
    </w:p>
    <w:p w:rsidR="002F74DE" w:rsidRDefault="002F74DE" w:rsidP="005C4087">
      <w:pPr>
        <w:contextualSpacing/>
      </w:pPr>
    </w:p>
    <w:p w:rsidR="00135516" w:rsidRDefault="00135516" w:rsidP="005C4087">
      <w:pPr>
        <w:contextualSpacing/>
      </w:pPr>
    </w:p>
    <w:p w:rsidR="00135516" w:rsidRDefault="00135516" w:rsidP="00AC2180">
      <w:pPr>
        <w:numPr>
          <w:ilvl w:val="0"/>
          <w:numId w:val="10"/>
        </w:numPr>
        <w:contextualSpacing/>
        <w:rPr>
          <w:lang w:val="en-US"/>
        </w:rPr>
      </w:pPr>
      <w:r>
        <w:rPr>
          <w:lang w:val="en-US"/>
        </w:rPr>
        <w:t>RDA is user focused.  This means…</w:t>
      </w:r>
    </w:p>
    <w:p w:rsidR="00135516" w:rsidRDefault="00135516" w:rsidP="00135516">
      <w:pPr>
        <w:numPr>
          <w:ilvl w:val="1"/>
          <w:numId w:val="10"/>
        </w:numPr>
        <w:contextualSpacing/>
        <w:rPr>
          <w:lang w:val="en-US"/>
        </w:rPr>
      </w:pPr>
      <w:r>
        <w:rPr>
          <w:lang w:val="en-US"/>
        </w:rPr>
        <w:t>AACR2 was not user focused</w:t>
      </w:r>
    </w:p>
    <w:p w:rsidR="00135516" w:rsidRPr="00135516" w:rsidRDefault="00135516" w:rsidP="00135516">
      <w:pPr>
        <w:numPr>
          <w:ilvl w:val="1"/>
          <w:numId w:val="10"/>
        </w:numPr>
        <w:contextualSpacing/>
        <w:rPr>
          <w:b/>
          <w:bCs/>
          <w:color w:val="FF0000"/>
          <w:lang w:val="en-US"/>
        </w:rPr>
      </w:pPr>
      <w:r w:rsidRPr="00135516">
        <w:rPr>
          <w:b/>
          <w:bCs/>
          <w:color w:val="FF0000"/>
          <w:lang w:val="en-US"/>
        </w:rPr>
        <w:t>RDA is based on FRBR and FRAD user tasks</w:t>
      </w:r>
    </w:p>
    <w:p w:rsidR="00135516" w:rsidRDefault="00135516" w:rsidP="00135516">
      <w:pPr>
        <w:numPr>
          <w:ilvl w:val="1"/>
          <w:numId w:val="10"/>
        </w:numPr>
        <w:contextualSpacing/>
        <w:rPr>
          <w:lang w:val="en-US"/>
        </w:rPr>
      </w:pPr>
      <w:r>
        <w:rPr>
          <w:lang w:val="en-US"/>
        </w:rPr>
        <w:t>The user creates the catalogue record</w:t>
      </w:r>
    </w:p>
    <w:p w:rsidR="00135516" w:rsidRDefault="00135516" w:rsidP="00135516">
      <w:pPr>
        <w:ind w:left="1440"/>
        <w:contextualSpacing/>
        <w:rPr>
          <w:lang w:val="en-US"/>
        </w:rPr>
      </w:pPr>
    </w:p>
    <w:p w:rsidR="00135516" w:rsidRDefault="00135516" w:rsidP="00135516">
      <w:pPr>
        <w:contextualSpacing/>
        <w:rPr>
          <w:lang w:val="en-US"/>
        </w:rPr>
      </w:pPr>
      <w:r w:rsidRPr="00135516">
        <w:rPr>
          <w:lang w:val="en-US"/>
        </w:rPr>
        <w:t>It does not mean AACR2 was not user focused.  Being designed for a card catalogue meant there were certain limitations to what could fit on the cards and how the</w:t>
      </w:r>
      <w:r>
        <w:rPr>
          <w:lang w:val="en-US"/>
        </w:rPr>
        <w:t xml:space="preserve">y were arranged in the drawer. </w:t>
      </w:r>
      <w:r w:rsidRPr="00135516">
        <w:rPr>
          <w:lang w:val="en-US"/>
        </w:rPr>
        <w:t>Each section of RDA begins with a statement of functional objectives that relate the instructions in each section back to the FRBR and FRAD user tasks they intend to assist</w:t>
      </w:r>
    </w:p>
    <w:p w:rsidR="00135516" w:rsidRDefault="00135516" w:rsidP="00135516">
      <w:pPr>
        <w:ind w:left="1440"/>
        <w:contextualSpacing/>
        <w:rPr>
          <w:lang w:val="en-US"/>
        </w:rPr>
      </w:pPr>
    </w:p>
    <w:p w:rsidR="00135516" w:rsidRDefault="00135516" w:rsidP="00AC2180">
      <w:pPr>
        <w:numPr>
          <w:ilvl w:val="0"/>
          <w:numId w:val="10"/>
        </w:numPr>
        <w:contextualSpacing/>
        <w:rPr>
          <w:lang w:val="en-US"/>
        </w:rPr>
      </w:pPr>
      <w:r w:rsidRPr="00135516">
        <w:rPr>
          <w:lang w:val="en-US"/>
        </w:rPr>
        <w:t>LCRIs and other institutional policies are not needed with RDA</w:t>
      </w:r>
    </w:p>
    <w:p w:rsidR="00135516" w:rsidRDefault="00135516" w:rsidP="00135516">
      <w:pPr>
        <w:numPr>
          <w:ilvl w:val="1"/>
          <w:numId w:val="10"/>
        </w:numPr>
        <w:contextualSpacing/>
        <w:rPr>
          <w:lang w:val="en-US"/>
        </w:rPr>
      </w:pPr>
      <w:r>
        <w:rPr>
          <w:lang w:val="en-US"/>
        </w:rPr>
        <w:t>True</w:t>
      </w:r>
    </w:p>
    <w:p w:rsidR="00135516" w:rsidRDefault="00135516" w:rsidP="00135516">
      <w:pPr>
        <w:numPr>
          <w:ilvl w:val="1"/>
          <w:numId w:val="10"/>
        </w:numPr>
        <w:contextualSpacing/>
        <w:rPr>
          <w:b/>
          <w:bCs/>
          <w:color w:val="FF0000"/>
          <w:lang w:val="en-US"/>
        </w:rPr>
      </w:pPr>
      <w:r w:rsidRPr="00135516">
        <w:rPr>
          <w:b/>
          <w:bCs/>
          <w:color w:val="FF0000"/>
          <w:lang w:val="en-US"/>
        </w:rPr>
        <w:t>False</w:t>
      </w:r>
    </w:p>
    <w:p w:rsidR="00135516" w:rsidRDefault="00135516" w:rsidP="00135516">
      <w:pPr>
        <w:contextualSpacing/>
        <w:rPr>
          <w:lang w:val="en-US"/>
        </w:rPr>
      </w:pPr>
    </w:p>
    <w:p w:rsidR="00135516" w:rsidRDefault="00135516" w:rsidP="00135516">
      <w:pPr>
        <w:contextualSpacing/>
        <w:rPr>
          <w:lang w:val="en-US"/>
        </w:rPr>
      </w:pPr>
      <w:r w:rsidRPr="00135516">
        <w:rPr>
          <w:lang w:val="en-US"/>
        </w:rPr>
        <w:t>There will still be LC policies and interpretations; these are now called LC-PCC PS (Library of Congress and Program for Cooperative Cataloguing Policy Statements) and all libraries may develop their own internal policies as before</w:t>
      </w:r>
    </w:p>
    <w:p w:rsidR="00135516" w:rsidRDefault="00135516" w:rsidP="00135516">
      <w:pPr>
        <w:contextualSpacing/>
        <w:rPr>
          <w:lang w:val="en-US"/>
        </w:rPr>
      </w:pPr>
    </w:p>
    <w:p w:rsidR="00135516" w:rsidRPr="00135516" w:rsidRDefault="00135516" w:rsidP="00135516">
      <w:pPr>
        <w:contextualSpacing/>
        <w:rPr>
          <w:lang w:val="en-US"/>
        </w:rPr>
      </w:pPr>
    </w:p>
    <w:p w:rsidR="00135516" w:rsidRDefault="00135516" w:rsidP="00AC2180">
      <w:pPr>
        <w:numPr>
          <w:ilvl w:val="0"/>
          <w:numId w:val="10"/>
        </w:numPr>
        <w:contextualSpacing/>
        <w:rPr>
          <w:lang w:val="en-US"/>
        </w:rPr>
      </w:pPr>
      <w:r w:rsidRPr="00135516">
        <w:rPr>
          <w:lang w:val="en-US"/>
        </w:rPr>
        <w:t>MARC21 will become obsolete when we start using RDA</w:t>
      </w:r>
    </w:p>
    <w:p w:rsidR="00135516" w:rsidRDefault="00135516" w:rsidP="00135516">
      <w:pPr>
        <w:numPr>
          <w:ilvl w:val="1"/>
          <w:numId w:val="10"/>
        </w:numPr>
        <w:contextualSpacing/>
        <w:rPr>
          <w:lang w:val="en-US"/>
        </w:rPr>
      </w:pPr>
      <w:r>
        <w:rPr>
          <w:lang w:val="en-US"/>
        </w:rPr>
        <w:t>True</w:t>
      </w:r>
    </w:p>
    <w:p w:rsidR="00135516" w:rsidRDefault="00135516" w:rsidP="00135516">
      <w:pPr>
        <w:numPr>
          <w:ilvl w:val="1"/>
          <w:numId w:val="10"/>
        </w:numPr>
        <w:contextualSpacing/>
        <w:rPr>
          <w:b/>
          <w:bCs/>
          <w:color w:val="FF0000"/>
          <w:lang w:val="en-US"/>
        </w:rPr>
      </w:pPr>
      <w:r w:rsidRPr="00135516">
        <w:rPr>
          <w:b/>
          <w:bCs/>
          <w:color w:val="FF0000"/>
          <w:lang w:val="en-US"/>
        </w:rPr>
        <w:t>False</w:t>
      </w:r>
    </w:p>
    <w:p w:rsidR="00F709D7" w:rsidRDefault="00F709D7" w:rsidP="00135516">
      <w:pPr>
        <w:contextualSpacing/>
        <w:rPr>
          <w:lang w:val="en-US"/>
        </w:rPr>
      </w:pPr>
    </w:p>
    <w:p w:rsidR="00135516" w:rsidRDefault="00F709D7" w:rsidP="00135516">
      <w:pPr>
        <w:contextualSpacing/>
        <w:rPr>
          <w:lang w:val="en-US"/>
        </w:rPr>
      </w:pPr>
      <w:r w:rsidRPr="00F709D7">
        <w:rPr>
          <w:lang w:val="en-US"/>
        </w:rPr>
        <w:t>Many librarians will still catalogue using MARC coding.  There will be some changes to MARC to accommodate new elements</w:t>
      </w:r>
    </w:p>
    <w:p w:rsidR="00F709D7" w:rsidRDefault="00F709D7" w:rsidP="00135516">
      <w:pPr>
        <w:contextualSpacing/>
        <w:rPr>
          <w:lang w:val="en-US"/>
        </w:rPr>
      </w:pPr>
    </w:p>
    <w:p w:rsidR="00F709D7" w:rsidRPr="00F709D7" w:rsidRDefault="00F709D7" w:rsidP="00135516">
      <w:pPr>
        <w:contextualSpacing/>
        <w:rPr>
          <w:lang w:val="en-US"/>
        </w:rPr>
      </w:pPr>
    </w:p>
    <w:p w:rsidR="00D74468" w:rsidRDefault="00532038" w:rsidP="00AC2180">
      <w:pPr>
        <w:numPr>
          <w:ilvl w:val="0"/>
          <w:numId w:val="10"/>
        </w:numPr>
        <w:contextualSpacing/>
        <w:rPr>
          <w:lang w:val="en-US"/>
        </w:rPr>
      </w:pPr>
      <w:r>
        <w:rPr>
          <w:lang w:val="en-US"/>
        </w:rPr>
        <w:t>Sections</w:t>
      </w:r>
      <w:r w:rsidR="00D74468">
        <w:rPr>
          <w:lang w:val="en-US"/>
        </w:rPr>
        <w:t xml:space="preserve"> 1</w:t>
      </w:r>
      <w:r>
        <w:rPr>
          <w:lang w:val="en-US"/>
        </w:rPr>
        <w:t>-4</w:t>
      </w:r>
      <w:r w:rsidR="00D74468">
        <w:rPr>
          <w:lang w:val="en-US"/>
        </w:rPr>
        <w:t xml:space="preserve"> of RDA deals with</w:t>
      </w:r>
    </w:p>
    <w:p w:rsidR="00D74468" w:rsidRDefault="008127E2" w:rsidP="00AC2180">
      <w:pPr>
        <w:numPr>
          <w:ilvl w:val="1"/>
          <w:numId w:val="10"/>
        </w:numPr>
        <w:contextualSpacing/>
        <w:rPr>
          <w:lang w:val="en-US"/>
        </w:rPr>
      </w:pPr>
      <w:r>
        <w:rPr>
          <w:lang w:val="en-US"/>
        </w:rPr>
        <w:t>General rules for description</w:t>
      </w:r>
    </w:p>
    <w:p w:rsidR="008127E2" w:rsidRPr="0031162F" w:rsidRDefault="008127E2" w:rsidP="00AC2180">
      <w:pPr>
        <w:numPr>
          <w:ilvl w:val="1"/>
          <w:numId w:val="10"/>
        </w:numPr>
        <w:contextualSpacing/>
        <w:rPr>
          <w:b/>
          <w:bCs/>
          <w:color w:val="FF0000"/>
          <w:lang w:val="en-US"/>
        </w:rPr>
      </w:pPr>
      <w:r w:rsidRPr="0031162F">
        <w:rPr>
          <w:b/>
          <w:bCs/>
          <w:color w:val="FF0000"/>
          <w:lang w:val="en-US"/>
        </w:rPr>
        <w:t>Recording attributes</w:t>
      </w:r>
    </w:p>
    <w:p w:rsidR="008127E2" w:rsidRDefault="008127E2" w:rsidP="00AC2180">
      <w:pPr>
        <w:numPr>
          <w:ilvl w:val="1"/>
          <w:numId w:val="10"/>
        </w:numPr>
        <w:contextualSpacing/>
        <w:rPr>
          <w:lang w:val="en-US"/>
        </w:rPr>
      </w:pPr>
      <w:r>
        <w:rPr>
          <w:lang w:val="en-US"/>
        </w:rPr>
        <w:t>Subjects of works</w:t>
      </w:r>
    </w:p>
    <w:p w:rsidR="00907BCF" w:rsidRDefault="00907BCF" w:rsidP="00907BCF">
      <w:pPr>
        <w:ind w:left="1440"/>
        <w:contextualSpacing/>
        <w:rPr>
          <w:lang w:val="en-US"/>
        </w:rPr>
      </w:pPr>
    </w:p>
    <w:p w:rsidR="00907BCF" w:rsidRPr="002F74DE" w:rsidRDefault="0031162F" w:rsidP="008127E2">
      <w:pPr>
        <w:contextualSpacing/>
      </w:pPr>
      <w:proofErr w:type="gramStart"/>
      <w:r>
        <w:t>C</w:t>
      </w:r>
      <w:r w:rsidRPr="0031162F">
        <w:t xml:space="preserve">ontains the instructions for recording the attributes of </w:t>
      </w:r>
      <w:r w:rsidRPr="0031162F">
        <w:rPr>
          <w:b/>
          <w:bCs/>
        </w:rPr>
        <w:t>all</w:t>
      </w:r>
      <w:r w:rsidRPr="0031162F">
        <w:t xml:space="preserve"> of the FRBR/FRAD entities.</w:t>
      </w:r>
      <w:proofErr w:type="gramEnd"/>
      <w:r w:rsidRPr="0031162F">
        <w:t xml:space="preserve"> It is arranged according to these entities, beginning with the Group 1 Entities (Work, Expression, Manifestation and Item), and then covering the Group 2 entities (Person, Family and Corporate Body).  The Group 3 entity, place has also been included because the names of place are commonly used when describing other entities such as persons, corporate bodies (especially Governments) and even the titles of Works and Expressions. In the future, RDA will include instructions </w:t>
      </w:r>
      <w:r w:rsidR="00F96CE5">
        <w:t>for the</w:t>
      </w:r>
      <w:r w:rsidRPr="0031162F">
        <w:t xml:space="preserve"> Group Three </w:t>
      </w:r>
      <w:r w:rsidRPr="0031162F">
        <w:rPr>
          <w:i/>
          <w:iCs/>
        </w:rPr>
        <w:t xml:space="preserve">subject </w:t>
      </w:r>
      <w:r w:rsidRPr="0031162F">
        <w:t>entiti</w:t>
      </w:r>
      <w:r>
        <w:t>es (</w:t>
      </w:r>
      <w:r w:rsidR="00F96CE5">
        <w:t xml:space="preserve">Place, </w:t>
      </w:r>
      <w:r>
        <w:t>Concept, Object, and Event)</w:t>
      </w:r>
    </w:p>
    <w:p w:rsidR="00907BCF" w:rsidRDefault="00907BCF" w:rsidP="008127E2">
      <w:pPr>
        <w:contextualSpacing/>
        <w:rPr>
          <w:lang w:val="en-US"/>
        </w:rPr>
      </w:pPr>
    </w:p>
    <w:p w:rsidR="00D62E78" w:rsidRDefault="00D62E78" w:rsidP="008127E2">
      <w:pPr>
        <w:contextualSpacing/>
        <w:rPr>
          <w:lang w:val="en-US"/>
        </w:rPr>
      </w:pPr>
    </w:p>
    <w:p w:rsidR="008127E2" w:rsidRDefault="00B072BB" w:rsidP="00AC2180">
      <w:pPr>
        <w:numPr>
          <w:ilvl w:val="0"/>
          <w:numId w:val="10"/>
        </w:numPr>
        <w:contextualSpacing/>
        <w:rPr>
          <w:lang w:val="en-US"/>
        </w:rPr>
      </w:pPr>
      <w:r>
        <w:rPr>
          <w:lang w:val="en-US"/>
        </w:rPr>
        <w:t>In RDA, GMD is recorded</w:t>
      </w:r>
    </w:p>
    <w:p w:rsidR="00B072BB" w:rsidRDefault="00B072BB" w:rsidP="00AC2180">
      <w:pPr>
        <w:numPr>
          <w:ilvl w:val="1"/>
          <w:numId w:val="10"/>
        </w:numPr>
        <w:contextualSpacing/>
        <w:rPr>
          <w:lang w:val="en-US"/>
        </w:rPr>
      </w:pPr>
      <w:r>
        <w:rPr>
          <w:lang w:val="en-US"/>
        </w:rPr>
        <w:t xml:space="preserve">the same </w:t>
      </w:r>
      <w:r w:rsidR="00AA24DF">
        <w:rPr>
          <w:lang w:val="en-US"/>
        </w:rPr>
        <w:t xml:space="preserve">way </w:t>
      </w:r>
      <w:r>
        <w:rPr>
          <w:lang w:val="en-US"/>
        </w:rPr>
        <w:t>as in AACR2</w:t>
      </w:r>
    </w:p>
    <w:p w:rsidR="00AA24DF" w:rsidRPr="00E52BA2" w:rsidRDefault="00AA24DF" w:rsidP="00AC2180">
      <w:pPr>
        <w:numPr>
          <w:ilvl w:val="1"/>
          <w:numId w:val="10"/>
        </w:numPr>
        <w:contextualSpacing/>
        <w:rPr>
          <w:b/>
          <w:bCs/>
          <w:color w:val="FF0000"/>
          <w:lang w:val="en-US"/>
        </w:rPr>
      </w:pPr>
      <w:r w:rsidRPr="00E52BA2">
        <w:rPr>
          <w:b/>
          <w:bCs/>
          <w:color w:val="FF0000"/>
          <w:lang w:val="en-US"/>
        </w:rPr>
        <w:t xml:space="preserve">With new terminology </w:t>
      </w:r>
      <w:r w:rsidR="00E52BA2" w:rsidRPr="00E52BA2">
        <w:rPr>
          <w:b/>
          <w:bCs/>
          <w:color w:val="FF0000"/>
          <w:lang w:val="en-US"/>
        </w:rPr>
        <w:t>and in new marc fields</w:t>
      </w:r>
    </w:p>
    <w:p w:rsidR="00B072BB" w:rsidRDefault="00B072BB" w:rsidP="00AC2180">
      <w:pPr>
        <w:numPr>
          <w:ilvl w:val="1"/>
          <w:numId w:val="10"/>
        </w:numPr>
        <w:contextualSpacing/>
        <w:rPr>
          <w:lang w:val="en-US"/>
        </w:rPr>
      </w:pPr>
      <w:r>
        <w:rPr>
          <w:lang w:val="en-US"/>
        </w:rPr>
        <w:t xml:space="preserve">In new fields but </w:t>
      </w:r>
      <w:r w:rsidR="00D12A88">
        <w:rPr>
          <w:lang w:val="en-US"/>
        </w:rPr>
        <w:t>with</w:t>
      </w:r>
      <w:r>
        <w:rPr>
          <w:lang w:val="en-US"/>
        </w:rPr>
        <w:t xml:space="preserve"> the same terminology</w:t>
      </w:r>
      <w:r w:rsidR="00AA24DF">
        <w:rPr>
          <w:lang w:val="en-US"/>
        </w:rPr>
        <w:t xml:space="preserve"> used in AACR2</w:t>
      </w:r>
    </w:p>
    <w:p w:rsidR="00907BCF" w:rsidRDefault="00907BCF" w:rsidP="00907BCF">
      <w:pPr>
        <w:ind w:left="1440"/>
        <w:contextualSpacing/>
        <w:rPr>
          <w:lang w:val="en-US"/>
        </w:rPr>
      </w:pPr>
    </w:p>
    <w:p w:rsidR="00502F3F" w:rsidRDefault="00B45159" w:rsidP="00856979">
      <w:pPr>
        <w:contextualSpacing/>
        <w:rPr>
          <w:lang w:val="en-US"/>
        </w:rPr>
      </w:pPr>
      <w:r>
        <w:rPr>
          <w:lang w:val="en-US"/>
        </w:rPr>
        <w:t xml:space="preserve">What we are used to calling the GMD is replaced with content type, media type and carrier. These will be recorded in the </w:t>
      </w:r>
      <w:proofErr w:type="spellStart"/>
      <w:r>
        <w:rPr>
          <w:lang w:val="en-US"/>
        </w:rPr>
        <w:t>marc</w:t>
      </w:r>
      <w:proofErr w:type="spellEnd"/>
      <w:r>
        <w:rPr>
          <w:lang w:val="en-US"/>
        </w:rPr>
        <w:t xml:space="preserve"> 336, 337 and 338 fields respectively.  This is an example of how RDA is format-neutral – format is more diverse and fluid that a format-based structure can address.  Content and carrier are core elements</w:t>
      </w:r>
    </w:p>
    <w:p w:rsidR="00907BCF" w:rsidRDefault="00907BCF" w:rsidP="00907BCF">
      <w:pPr>
        <w:ind w:left="720"/>
        <w:contextualSpacing/>
        <w:rPr>
          <w:lang w:val="en-US"/>
        </w:rPr>
      </w:pPr>
    </w:p>
    <w:p w:rsidR="00856979" w:rsidRDefault="00ED5119" w:rsidP="00AC2180">
      <w:pPr>
        <w:numPr>
          <w:ilvl w:val="0"/>
          <w:numId w:val="10"/>
        </w:numPr>
        <w:contextualSpacing/>
        <w:rPr>
          <w:lang w:val="en-US"/>
        </w:rPr>
      </w:pPr>
      <w:r>
        <w:rPr>
          <w:lang w:val="en-US"/>
        </w:rPr>
        <w:t>RDA is a content standard, this means</w:t>
      </w:r>
    </w:p>
    <w:p w:rsidR="00ED5119" w:rsidRPr="00B82F25" w:rsidRDefault="004F0F2D" w:rsidP="00AC2180">
      <w:pPr>
        <w:numPr>
          <w:ilvl w:val="1"/>
          <w:numId w:val="10"/>
        </w:numPr>
        <w:contextualSpacing/>
        <w:rPr>
          <w:b/>
          <w:bCs/>
          <w:color w:val="FF0000"/>
          <w:lang w:val="en-US"/>
        </w:rPr>
      </w:pPr>
      <w:r>
        <w:rPr>
          <w:b/>
          <w:bCs/>
          <w:color w:val="FF0000"/>
          <w:lang w:val="en-US"/>
        </w:rPr>
        <w:t>I</w:t>
      </w:r>
      <w:r w:rsidR="00ED5119" w:rsidRPr="00B82F25">
        <w:rPr>
          <w:b/>
          <w:bCs/>
          <w:color w:val="FF0000"/>
          <w:lang w:val="en-US"/>
        </w:rPr>
        <w:t xml:space="preserve">t </w:t>
      </w:r>
      <w:proofErr w:type="spellStart"/>
      <w:r w:rsidR="00ED5119" w:rsidRPr="00B82F25">
        <w:rPr>
          <w:b/>
          <w:bCs/>
          <w:color w:val="FF0000"/>
          <w:lang w:val="en-US"/>
        </w:rPr>
        <w:t>emphasises</w:t>
      </w:r>
      <w:proofErr w:type="spellEnd"/>
      <w:r w:rsidR="00ED5119" w:rsidRPr="00B82F25">
        <w:rPr>
          <w:b/>
          <w:bCs/>
          <w:color w:val="FF0000"/>
          <w:lang w:val="en-US"/>
        </w:rPr>
        <w:t xml:space="preserve"> what should be recorded but not how </w:t>
      </w:r>
    </w:p>
    <w:p w:rsidR="00ED5119" w:rsidRPr="00B82F25" w:rsidRDefault="004F0F2D" w:rsidP="00AC2180">
      <w:pPr>
        <w:numPr>
          <w:ilvl w:val="1"/>
          <w:numId w:val="10"/>
        </w:numPr>
        <w:contextualSpacing/>
        <w:rPr>
          <w:b/>
          <w:bCs/>
          <w:color w:val="FF0000"/>
          <w:lang w:val="en-US"/>
        </w:rPr>
      </w:pPr>
      <w:r>
        <w:rPr>
          <w:b/>
          <w:bCs/>
          <w:color w:val="FF0000"/>
          <w:lang w:val="en-US"/>
        </w:rPr>
        <w:lastRenderedPageBreak/>
        <w:t>I</w:t>
      </w:r>
      <w:r w:rsidR="00ED5119" w:rsidRPr="00B82F25">
        <w:rPr>
          <w:b/>
          <w:bCs/>
          <w:color w:val="FF0000"/>
          <w:lang w:val="en-US"/>
        </w:rPr>
        <w:t>t is independent of encoding schemes such as ISBD and marc</w:t>
      </w:r>
    </w:p>
    <w:p w:rsidR="00ED5119" w:rsidRDefault="00ED5119" w:rsidP="00AC2180">
      <w:pPr>
        <w:numPr>
          <w:ilvl w:val="1"/>
          <w:numId w:val="10"/>
        </w:numPr>
        <w:contextualSpacing/>
        <w:rPr>
          <w:lang w:val="en-US"/>
        </w:rPr>
      </w:pPr>
      <w:r>
        <w:rPr>
          <w:lang w:val="en-US"/>
        </w:rPr>
        <w:t>data created cannot be adapted and shared across different systems</w:t>
      </w:r>
    </w:p>
    <w:p w:rsidR="00907BCF" w:rsidRDefault="00907BCF" w:rsidP="00907BCF">
      <w:pPr>
        <w:ind w:left="1440"/>
        <w:contextualSpacing/>
        <w:rPr>
          <w:lang w:val="en-US"/>
        </w:rPr>
      </w:pPr>
    </w:p>
    <w:p w:rsidR="00C5615B" w:rsidRDefault="00C5615B" w:rsidP="00ED5119">
      <w:pPr>
        <w:contextualSpacing/>
        <w:rPr>
          <w:lang w:val="en-US"/>
        </w:rPr>
      </w:pPr>
      <w:r>
        <w:rPr>
          <w:lang w:val="en-US"/>
        </w:rPr>
        <w:t xml:space="preserve">There are no instructions on the order or display of information.  </w:t>
      </w:r>
    </w:p>
    <w:p w:rsidR="00907BCF" w:rsidRDefault="00907BCF" w:rsidP="00ED5119">
      <w:pPr>
        <w:contextualSpacing/>
        <w:rPr>
          <w:lang w:val="en-US"/>
        </w:rPr>
      </w:pPr>
    </w:p>
    <w:p w:rsidR="00B27448" w:rsidRDefault="00C5615B" w:rsidP="00ED5119">
      <w:pPr>
        <w:contextualSpacing/>
        <w:rPr>
          <w:lang w:val="en-US"/>
        </w:rPr>
      </w:pPr>
      <w:r>
        <w:rPr>
          <w:lang w:val="en-US"/>
        </w:rPr>
        <w:t xml:space="preserve">It is </w:t>
      </w:r>
      <w:r w:rsidR="00F874E8">
        <w:rPr>
          <w:lang w:val="en-US"/>
        </w:rPr>
        <w:t>compatible</w:t>
      </w:r>
      <w:r>
        <w:rPr>
          <w:lang w:val="en-US"/>
        </w:rPr>
        <w:t xml:space="preserve"> with schemes such as ISBD and marc but is designed to work independently of these so it can be applied to whatever conventions or encoding standards you use.  This opens up RDA to be used by other content management industries such as archives and museums</w:t>
      </w:r>
    </w:p>
    <w:p w:rsidR="00907BCF" w:rsidRDefault="00907BCF" w:rsidP="00ED5119">
      <w:pPr>
        <w:contextualSpacing/>
        <w:rPr>
          <w:lang w:val="en-US"/>
        </w:rPr>
      </w:pPr>
    </w:p>
    <w:p w:rsidR="00907BCF" w:rsidRDefault="00907BCF" w:rsidP="00ED5119">
      <w:pPr>
        <w:contextualSpacing/>
        <w:rPr>
          <w:lang w:val="en-US"/>
        </w:rPr>
      </w:pPr>
    </w:p>
    <w:p w:rsidR="00ED5119" w:rsidRDefault="00851E27" w:rsidP="00AC2180">
      <w:pPr>
        <w:numPr>
          <w:ilvl w:val="0"/>
          <w:numId w:val="10"/>
        </w:numPr>
        <w:contextualSpacing/>
        <w:rPr>
          <w:lang w:val="en-US"/>
        </w:rPr>
      </w:pPr>
      <w:r>
        <w:rPr>
          <w:lang w:val="en-US"/>
        </w:rPr>
        <w:t>Each section of RDA begins with a statement of the functional objectives of the FRBR and FRAD user tasks</w:t>
      </w:r>
    </w:p>
    <w:p w:rsidR="00851E27" w:rsidRPr="00B82F25" w:rsidRDefault="00851E27" w:rsidP="00AC2180">
      <w:pPr>
        <w:numPr>
          <w:ilvl w:val="1"/>
          <w:numId w:val="10"/>
        </w:numPr>
        <w:contextualSpacing/>
        <w:rPr>
          <w:b/>
          <w:bCs/>
          <w:color w:val="FF0000"/>
          <w:lang w:val="en-US"/>
        </w:rPr>
      </w:pPr>
      <w:r w:rsidRPr="00B82F25">
        <w:rPr>
          <w:b/>
          <w:bCs/>
          <w:color w:val="FF0000"/>
          <w:lang w:val="en-US"/>
        </w:rPr>
        <w:t>True</w:t>
      </w:r>
    </w:p>
    <w:p w:rsidR="00851E27" w:rsidRDefault="00851E27" w:rsidP="00AC2180">
      <w:pPr>
        <w:numPr>
          <w:ilvl w:val="1"/>
          <w:numId w:val="10"/>
        </w:numPr>
        <w:contextualSpacing/>
        <w:rPr>
          <w:lang w:val="en-US"/>
        </w:rPr>
      </w:pPr>
      <w:r>
        <w:rPr>
          <w:lang w:val="en-US"/>
        </w:rPr>
        <w:t>False</w:t>
      </w:r>
    </w:p>
    <w:p w:rsidR="00907BCF" w:rsidRDefault="00907BCF" w:rsidP="00907BCF">
      <w:pPr>
        <w:ind w:left="1440"/>
        <w:contextualSpacing/>
        <w:rPr>
          <w:lang w:val="en-US"/>
        </w:rPr>
      </w:pPr>
    </w:p>
    <w:p w:rsidR="00851E27" w:rsidRDefault="00C5615B" w:rsidP="00851E27">
      <w:pPr>
        <w:contextualSpacing/>
        <w:rPr>
          <w:lang w:val="en-US"/>
        </w:rPr>
      </w:pPr>
      <w:r>
        <w:rPr>
          <w:lang w:val="en-US"/>
        </w:rPr>
        <w:t>This is an example of how RDA has been developed with the user in mind.  Each section begins with a statement of functional objectives that relate the instructions in the section back to the user tasks they are intended to assist</w:t>
      </w:r>
    </w:p>
    <w:p w:rsidR="00145A82" w:rsidRDefault="00145A82" w:rsidP="00851E27">
      <w:pPr>
        <w:contextualSpacing/>
        <w:rPr>
          <w:lang w:val="en-US"/>
        </w:rPr>
      </w:pPr>
    </w:p>
    <w:p w:rsidR="00F709D7" w:rsidRDefault="00F709D7" w:rsidP="00851E27">
      <w:pPr>
        <w:contextualSpacing/>
        <w:rPr>
          <w:lang w:val="en-US"/>
        </w:rPr>
      </w:pPr>
    </w:p>
    <w:p w:rsidR="00851E27" w:rsidRDefault="00851E27" w:rsidP="00AC2180">
      <w:pPr>
        <w:numPr>
          <w:ilvl w:val="0"/>
          <w:numId w:val="10"/>
        </w:numPr>
        <w:contextualSpacing/>
        <w:rPr>
          <w:lang w:val="en-US"/>
        </w:rPr>
      </w:pPr>
      <w:r>
        <w:rPr>
          <w:lang w:val="en-US"/>
        </w:rPr>
        <w:t>Data created in RDA will no longer be abbreviated because</w:t>
      </w:r>
    </w:p>
    <w:p w:rsidR="00851E27" w:rsidRPr="00F47706" w:rsidRDefault="00851E27" w:rsidP="00AC2180">
      <w:pPr>
        <w:numPr>
          <w:ilvl w:val="1"/>
          <w:numId w:val="10"/>
        </w:numPr>
        <w:contextualSpacing/>
        <w:rPr>
          <w:lang w:val="en-US"/>
        </w:rPr>
      </w:pPr>
      <w:r>
        <w:rPr>
          <w:lang w:val="en-US"/>
        </w:rPr>
        <w:t>Data was less important in AACR2</w:t>
      </w:r>
    </w:p>
    <w:p w:rsidR="00851E27" w:rsidRPr="00B82F25" w:rsidRDefault="00851E27" w:rsidP="00AC2180">
      <w:pPr>
        <w:numPr>
          <w:ilvl w:val="1"/>
          <w:numId w:val="10"/>
        </w:numPr>
        <w:contextualSpacing/>
        <w:rPr>
          <w:b/>
          <w:bCs/>
          <w:color w:val="FF0000"/>
          <w:lang w:val="en-US"/>
        </w:rPr>
      </w:pPr>
      <w:r w:rsidRPr="00B82F25">
        <w:rPr>
          <w:b/>
          <w:bCs/>
          <w:color w:val="FF0000"/>
          <w:lang w:val="en-US"/>
        </w:rPr>
        <w:t>We are no longer constrained by limitations of card catalogues</w:t>
      </w:r>
    </w:p>
    <w:p w:rsidR="00851E27" w:rsidRPr="00907BCF" w:rsidRDefault="00532038" w:rsidP="00AC2180">
      <w:pPr>
        <w:numPr>
          <w:ilvl w:val="1"/>
          <w:numId w:val="10"/>
        </w:numPr>
        <w:contextualSpacing/>
        <w:rPr>
          <w:b/>
          <w:bCs/>
          <w:color w:val="FF0000"/>
          <w:lang w:val="en-US"/>
        </w:rPr>
      </w:pPr>
      <w:r w:rsidRPr="00907BCF">
        <w:rPr>
          <w:b/>
          <w:bCs/>
          <w:color w:val="FF0000"/>
          <w:lang w:val="en-US"/>
        </w:rPr>
        <w:t>Users don’t understand abbreviations</w:t>
      </w:r>
    </w:p>
    <w:p w:rsidR="00907BCF" w:rsidRDefault="00907BCF" w:rsidP="00907BCF">
      <w:pPr>
        <w:ind w:left="1440"/>
        <w:contextualSpacing/>
        <w:rPr>
          <w:lang w:val="en-US"/>
        </w:rPr>
      </w:pPr>
    </w:p>
    <w:p w:rsidR="00907BCF" w:rsidRDefault="004C6652" w:rsidP="00CC46F7">
      <w:pPr>
        <w:contextualSpacing/>
        <w:rPr>
          <w:lang w:val="en-US"/>
        </w:rPr>
      </w:pPr>
      <w:r>
        <w:rPr>
          <w:lang w:val="en-US"/>
        </w:rPr>
        <w:t xml:space="preserve">AACR2 was designed for card catalogues with limitations on how much data could fit on them.  </w:t>
      </w:r>
      <w:r w:rsidR="006B4DC3">
        <w:rPr>
          <w:lang w:val="en-US"/>
        </w:rPr>
        <w:t xml:space="preserve">Our OPACs no longer have these constrains and this is reflected in RDA.  Abbreviations, omissions and restrictions to access points are not applied in RDA </w:t>
      </w:r>
    </w:p>
    <w:p w:rsidR="00907BCF" w:rsidRDefault="00907BCF" w:rsidP="00CC46F7">
      <w:pPr>
        <w:contextualSpacing/>
        <w:rPr>
          <w:lang w:val="en-US"/>
        </w:rPr>
      </w:pPr>
    </w:p>
    <w:p w:rsidR="00F709D7" w:rsidRDefault="00F709D7" w:rsidP="00CC46F7">
      <w:pPr>
        <w:contextualSpacing/>
        <w:rPr>
          <w:lang w:val="en-US"/>
        </w:rPr>
      </w:pPr>
    </w:p>
    <w:p w:rsidR="00CC46F7" w:rsidRDefault="00CC46F7" w:rsidP="00AC2180">
      <w:pPr>
        <w:numPr>
          <w:ilvl w:val="0"/>
          <w:numId w:val="10"/>
        </w:numPr>
        <w:contextualSpacing/>
        <w:rPr>
          <w:lang w:val="en-US"/>
        </w:rPr>
      </w:pPr>
      <w:r>
        <w:rPr>
          <w:lang w:val="en-US"/>
        </w:rPr>
        <w:t>Terminology in RDA is</w:t>
      </w:r>
    </w:p>
    <w:p w:rsidR="00CC46F7" w:rsidRDefault="00CC46F7" w:rsidP="00AC2180">
      <w:pPr>
        <w:numPr>
          <w:ilvl w:val="1"/>
          <w:numId w:val="10"/>
        </w:numPr>
        <w:contextualSpacing/>
        <w:rPr>
          <w:lang w:val="en-US"/>
        </w:rPr>
      </w:pPr>
      <w:r>
        <w:rPr>
          <w:lang w:val="en-US"/>
        </w:rPr>
        <w:t>The same as in AACR2</w:t>
      </w:r>
    </w:p>
    <w:p w:rsidR="00CC46F7" w:rsidRPr="00B82F25" w:rsidRDefault="00CC46F7" w:rsidP="00AC2180">
      <w:pPr>
        <w:numPr>
          <w:ilvl w:val="1"/>
          <w:numId w:val="10"/>
        </w:numPr>
        <w:contextualSpacing/>
        <w:rPr>
          <w:b/>
          <w:bCs/>
          <w:color w:val="FF0000"/>
          <w:lang w:val="en-US"/>
        </w:rPr>
      </w:pPr>
      <w:r w:rsidRPr="00B82F25">
        <w:rPr>
          <w:b/>
          <w:bCs/>
          <w:color w:val="FF0000"/>
          <w:lang w:val="en-US"/>
        </w:rPr>
        <w:t>Based on FRBR and FRAD models</w:t>
      </w:r>
    </w:p>
    <w:p w:rsidR="00CC46F7" w:rsidRDefault="00CC46F7" w:rsidP="00AC2180">
      <w:pPr>
        <w:numPr>
          <w:ilvl w:val="1"/>
          <w:numId w:val="10"/>
        </w:numPr>
        <w:contextualSpacing/>
        <w:rPr>
          <w:lang w:val="en-US"/>
        </w:rPr>
      </w:pPr>
      <w:r>
        <w:rPr>
          <w:lang w:val="en-US"/>
        </w:rPr>
        <w:t>Unique terms developed specifically for RDA</w:t>
      </w:r>
    </w:p>
    <w:p w:rsidR="004A687A" w:rsidRPr="004A687A" w:rsidRDefault="00734C71" w:rsidP="004A687A">
      <w:pPr>
        <w:contextualSpacing/>
        <w:rPr>
          <w:lang w:val="en-US"/>
        </w:rPr>
      </w:pPr>
      <w:r>
        <w:t>T</w:t>
      </w:r>
      <w:r w:rsidR="004A687A" w:rsidRPr="004A687A">
        <w:t>here will be different terminology in RDA to what most cataloguers are used to.  Much of this comes from the FRBR/FRAD models, so being familiar with these will be a great help in understanding RDA Terminology.</w:t>
      </w:r>
      <w:r w:rsidR="004A687A" w:rsidRPr="004A687A">
        <w:rPr>
          <w:lang w:val="en-US"/>
        </w:rPr>
        <w:t xml:space="preserve"> </w:t>
      </w:r>
    </w:p>
    <w:p w:rsidR="004A687A" w:rsidRPr="004A687A" w:rsidRDefault="004A687A" w:rsidP="004A687A">
      <w:pPr>
        <w:contextualSpacing/>
        <w:rPr>
          <w:lang w:val="en-US"/>
        </w:rPr>
      </w:pPr>
      <w:r w:rsidRPr="004A687A">
        <w:t>To assist with the transition, RDA contains a full glossary of terms.  In the online version of the Toolkit, as we saw in the demonstration, when terms from the Glossary are used in the text of RDA, there is a hyperlink to the Glossary.  Initially, we recommend that cataloguers always follow these links, as a way of helping get used to the terminology.</w:t>
      </w:r>
      <w:r w:rsidRPr="004A687A">
        <w:rPr>
          <w:lang w:val="en-US"/>
        </w:rPr>
        <w:t xml:space="preserve"> </w:t>
      </w:r>
    </w:p>
    <w:p w:rsidR="004A687A" w:rsidRDefault="004A687A" w:rsidP="004A687A">
      <w:pPr>
        <w:contextualSpacing/>
      </w:pPr>
      <w:r w:rsidRPr="004A687A">
        <w:t xml:space="preserve">Additionally, each section of RDA contains a “general guidelines” chapter, which among other things, will set out and clearly define key terminology used in that section. </w:t>
      </w:r>
    </w:p>
    <w:p w:rsidR="00193500" w:rsidRDefault="00193500" w:rsidP="00CC46F7">
      <w:pPr>
        <w:contextualSpacing/>
        <w:rPr>
          <w:lang w:val="en-US"/>
        </w:rPr>
      </w:pPr>
    </w:p>
    <w:p w:rsidR="004A687A" w:rsidRDefault="004A687A" w:rsidP="004A687A">
      <w:pPr>
        <w:contextualSpacing/>
        <w:rPr>
          <w:lang w:val="en-US"/>
        </w:rPr>
      </w:pPr>
      <w:r>
        <w:rPr>
          <w:lang w:val="en-US"/>
        </w:rPr>
        <w:lastRenderedPageBreak/>
        <w:t>When standards such as marc are changed, or even replaced in the future, we will not need to change our cataloguing standard</w:t>
      </w:r>
    </w:p>
    <w:p w:rsidR="00F021A7" w:rsidRPr="004A687A" w:rsidRDefault="00F021A7" w:rsidP="004A687A">
      <w:pPr>
        <w:contextualSpacing/>
        <w:rPr>
          <w:lang w:val="en-US"/>
        </w:rPr>
      </w:pPr>
    </w:p>
    <w:p w:rsidR="00907BCF" w:rsidRDefault="00F021A7" w:rsidP="00F021A7">
      <w:pPr>
        <w:numPr>
          <w:ilvl w:val="0"/>
          <w:numId w:val="10"/>
        </w:numPr>
        <w:contextualSpacing/>
        <w:rPr>
          <w:lang w:val="en-US"/>
        </w:rPr>
      </w:pPr>
      <w:r>
        <w:rPr>
          <w:lang w:val="en-US"/>
        </w:rPr>
        <w:t>Where are the instructions for Core elements?</w:t>
      </w:r>
    </w:p>
    <w:p w:rsidR="00F021A7" w:rsidRPr="00F021A7" w:rsidRDefault="00F021A7" w:rsidP="00F021A7">
      <w:pPr>
        <w:numPr>
          <w:ilvl w:val="1"/>
          <w:numId w:val="10"/>
        </w:numPr>
        <w:contextualSpacing/>
        <w:rPr>
          <w:b/>
          <w:bCs/>
          <w:color w:val="FF0000"/>
          <w:lang w:val="en-US"/>
        </w:rPr>
      </w:pPr>
      <w:r w:rsidRPr="00F021A7">
        <w:rPr>
          <w:b/>
          <w:bCs/>
          <w:color w:val="FF0000"/>
          <w:lang w:val="en-US"/>
        </w:rPr>
        <w:t>In the introduction at 0.6</w:t>
      </w:r>
    </w:p>
    <w:p w:rsidR="00F021A7" w:rsidRPr="00F021A7" w:rsidRDefault="00F021A7" w:rsidP="00F021A7">
      <w:pPr>
        <w:numPr>
          <w:ilvl w:val="1"/>
          <w:numId w:val="10"/>
        </w:numPr>
        <w:contextualSpacing/>
        <w:rPr>
          <w:b/>
          <w:bCs/>
          <w:color w:val="FF0000"/>
          <w:lang w:val="en-US"/>
        </w:rPr>
      </w:pPr>
      <w:r w:rsidRPr="00F021A7">
        <w:rPr>
          <w:b/>
          <w:bCs/>
          <w:color w:val="FF0000"/>
          <w:lang w:val="en-US"/>
        </w:rPr>
        <w:t>In the General Guidelines chapter at the beginning of each section</w:t>
      </w:r>
    </w:p>
    <w:p w:rsidR="00F021A7" w:rsidRPr="00F021A7" w:rsidRDefault="00F021A7" w:rsidP="00F021A7">
      <w:pPr>
        <w:numPr>
          <w:ilvl w:val="1"/>
          <w:numId w:val="10"/>
        </w:numPr>
        <w:contextualSpacing/>
        <w:rPr>
          <w:b/>
          <w:bCs/>
          <w:color w:val="FF0000"/>
          <w:lang w:val="en-US"/>
        </w:rPr>
      </w:pPr>
      <w:r w:rsidRPr="00F021A7">
        <w:rPr>
          <w:b/>
          <w:bCs/>
          <w:color w:val="FF0000"/>
          <w:lang w:val="en-US"/>
        </w:rPr>
        <w:t>At the beginning of each instruction</w:t>
      </w:r>
    </w:p>
    <w:p w:rsidR="00F021A7" w:rsidRDefault="00F021A7" w:rsidP="00F021A7">
      <w:pPr>
        <w:numPr>
          <w:ilvl w:val="1"/>
          <w:numId w:val="10"/>
        </w:numPr>
        <w:contextualSpacing/>
        <w:rPr>
          <w:b/>
          <w:bCs/>
          <w:color w:val="FF0000"/>
          <w:lang w:val="en-US"/>
        </w:rPr>
      </w:pPr>
      <w:r w:rsidRPr="00F021A7">
        <w:rPr>
          <w:b/>
          <w:bCs/>
          <w:color w:val="FF0000"/>
          <w:lang w:val="en-US"/>
        </w:rPr>
        <w:t>All of the above</w:t>
      </w:r>
    </w:p>
    <w:p w:rsidR="006856C3" w:rsidRPr="006856C3" w:rsidRDefault="006856C3" w:rsidP="006856C3">
      <w:pPr>
        <w:ind w:left="360"/>
        <w:contextualSpacing/>
        <w:rPr>
          <w:color w:val="FF0000"/>
          <w:lang w:val="en-US"/>
        </w:rPr>
      </w:pPr>
      <w:r w:rsidRPr="006856C3">
        <w:rPr>
          <w:color w:val="FF0000"/>
          <w:lang w:val="en-US"/>
        </w:rPr>
        <w:t>Instructions about core elements can be found in all these places – so D is the best answer</w:t>
      </w:r>
    </w:p>
    <w:p w:rsidR="006856C3" w:rsidRDefault="006856C3" w:rsidP="006856C3">
      <w:pPr>
        <w:ind w:left="1440"/>
        <w:contextualSpacing/>
        <w:rPr>
          <w:b/>
          <w:bCs/>
          <w:color w:val="FF0000"/>
          <w:lang w:val="en-US"/>
        </w:rPr>
      </w:pPr>
    </w:p>
    <w:p w:rsidR="006856C3" w:rsidRDefault="006856C3" w:rsidP="006856C3">
      <w:pPr>
        <w:numPr>
          <w:ilvl w:val="0"/>
          <w:numId w:val="10"/>
        </w:numPr>
        <w:contextualSpacing/>
        <w:rPr>
          <w:lang w:val="en-US"/>
        </w:rPr>
      </w:pPr>
      <w:r>
        <w:rPr>
          <w:lang w:val="en-US"/>
        </w:rPr>
        <w:t>RDA is independent from schemes such as marc and ISBD, this means</w:t>
      </w:r>
    </w:p>
    <w:p w:rsidR="006856C3" w:rsidRDefault="006856C3" w:rsidP="006856C3">
      <w:pPr>
        <w:numPr>
          <w:ilvl w:val="1"/>
          <w:numId w:val="10"/>
        </w:numPr>
        <w:contextualSpacing/>
        <w:rPr>
          <w:lang w:val="en-US"/>
        </w:rPr>
      </w:pPr>
      <w:r>
        <w:rPr>
          <w:lang w:val="en-US"/>
        </w:rPr>
        <w:t>RDA is incompatible with marc and ISBD</w:t>
      </w:r>
    </w:p>
    <w:p w:rsidR="006856C3" w:rsidRDefault="006856C3" w:rsidP="006856C3">
      <w:pPr>
        <w:numPr>
          <w:ilvl w:val="1"/>
          <w:numId w:val="10"/>
        </w:numPr>
        <w:contextualSpacing/>
        <w:rPr>
          <w:lang w:val="en-US"/>
        </w:rPr>
      </w:pPr>
      <w:r>
        <w:rPr>
          <w:lang w:val="en-US"/>
        </w:rPr>
        <w:t>Data created can only be used in the library environment</w:t>
      </w:r>
    </w:p>
    <w:p w:rsidR="006856C3" w:rsidRDefault="006856C3" w:rsidP="006856C3">
      <w:pPr>
        <w:numPr>
          <w:ilvl w:val="1"/>
          <w:numId w:val="10"/>
        </w:numPr>
        <w:contextualSpacing/>
        <w:rPr>
          <w:b/>
          <w:bCs/>
          <w:color w:val="FF0000"/>
          <w:lang w:val="en-US"/>
        </w:rPr>
      </w:pPr>
      <w:r w:rsidRPr="00B82F25">
        <w:rPr>
          <w:b/>
          <w:bCs/>
          <w:color w:val="FF0000"/>
          <w:lang w:val="en-US"/>
        </w:rPr>
        <w:t xml:space="preserve">Future changes to encoding standards will not </w:t>
      </w:r>
      <w:r>
        <w:rPr>
          <w:b/>
          <w:bCs/>
          <w:color w:val="FF0000"/>
          <w:lang w:val="en-US"/>
        </w:rPr>
        <w:t>require changes to</w:t>
      </w:r>
      <w:r w:rsidRPr="00B82F25">
        <w:rPr>
          <w:b/>
          <w:bCs/>
          <w:color w:val="FF0000"/>
          <w:lang w:val="en-US"/>
        </w:rPr>
        <w:t xml:space="preserve"> RDA</w:t>
      </w:r>
    </w:p>
    <w:p w:rsidR="006856C3" w:rsidRPr="00F021A7" w:rsidRDefault="006856C3" w:rsidP="006856C3">
      <w:pPr>
        <w:ind w:left="720"/>
        <w:contextualSpacing/>
        <w:rPr>
          <w:b/>
          <w:bCs/>
          <w:color w:val="FF0000"/>
          <w:lang w:val="en-US"/>
        </w:rPr>
      </w:pPr>
    </w:p>
    <w:p w:rsidR="00F709D7" w:rsidRDefault="00F709D7" w:rsidP="00F021A7">
      <w:pPr>
        <w:contextualSpacing/>
        <w:rPr>
          <w:lang w:val="en-US"/>
        </w:rPr>
      </w:pPr>
    </w:p>
    <w:p w:rsidR="00CC46F7" w:rsidRDefault="007A4128" w:rsidP="00907BCF">
      <w:pPr>
        <w:contextualSpacing/>
        <w:rPr>
          <w:lang w:val="en-US"/>
        </w:rPr>
      </w:pPr>
      <w:r w:rsidRPr="007A4128">
        <w:rPr>
          <w:b/>
          <w:bCs/>
          <w:noProof/>
          <w:sz w:val="28"/>
          <w:szCs w:val="28"/>
          <w:lang w:val="en-US" w:eastAsia="zh-CN" w:bidi="th-TH"/>
        </w:rPr>
        <w:pict>
          <v:shape id="_x0000_s1064" type="#_x0000_t32" style="position:absolute;margin-left:5.3pt;margin-top:4.4pt;width:437.1pt;height:0;z-index:251648000" o:connectortype="straight" strokecolor="#943634" strokeweight="3pt">
            <v:shadow type="perspective" color="#3f3151" opacity=".5" offset="1pt" offset2="-1pt"/>
          </v:shape>
        </w:pict>
      </w:r>
    </w:p>
    <w:p w:rsidR="00D62E78" w:rsidRDefault="00D62E78" w:rsidP="00907BCF">
      <w:pPr>
        <w:contextualSpacing/>
        <w:rPr>
          <w:lang w:val="en-US"/>
        </w:rPr>
      </w:pPr>
    </w:p>
    <w:p w:rsidR="00907BCF" w:rsidRPr="00F47706" w:rsidRDefault="00907BCF" w:rsidP="00907BCF">
      <w:pPr>
        <w:contextualSpacing/>
        <w:rPr>
          <w:lang w:val="en-US"/>
        </w:rPr>
      </w:pPr>
    </w:p>
    <w:sectPr w:rsidR="00907BCF" w:rsidRPr="00F47706" w:rsidSect="00F63158">
      <w:headerReference w:type="defaul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137" w:rsidRDefault="005A6137" w:rsidP="002E269F">
      <w:pPr>
        <w:spacing w:after="0" w:line="240" w:lineRule="auto"/>
      </w:pPr>
      <w:r>
        <w:separator/>
      </w:r>
    </w:p>
  </w:endnote>
  <w:endnote w:type="continuationSeparator" w:id="0">
    <w:p w:rsidR="005A6137" w:rsidRDefault="005A6137" w:rsidP="002E2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n-cs">
    <w:panose1 w:val="00000000000000000000"/>
    <w:charset w:val="00"/>
    <w:family w:val="roman"/>
    <w:notTrueType/>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宋体">
    <w:altName w:val="Arial Unicode MS"/>
    <w:charset w:val="50"/>
    <w:family w:val="auto"/>
    <w:pitch w:val="variable"/>
    <w:sig w:usb0="00000000"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37" w:rsidRDefault="005A6137" w:rsidP="00CE210F">
    <w:pPr>
      <w:pStyle w:val="Footer"/>
      <w:jc w:val="center"/>
    </w:pPr>
    <w:r>
      <w:t>Teaching RDA (National Library of Australia, 2012)</w:t>
    </w:r>
    <w:r w:rsidRPr="00F63158">
      <w:rPr>
        <w:noProof/>
        <w:lang w:val="en-US" w:eastAsia="zh-CN" w:bidi="th-TH"/>
      </w:rPr>
      <w:drawing>
        <wp:anchor distT="0" distB="0" distL="114300" distR="114300" simplePos="0" relativeHeight="251661312" behindDoc="1" locked="0" layoutInCell="1" allowOverlap="1">
          <wp:simplePos x="0" y="0"/>
          <wp:positionH relativeFrom="page">
            <wp:posOffset>5391150</wp:posOffset>
          </wp:positionH>
          <wp:positionV relativeFrom="page">
            <wp:posOffset>9896475</wp:posOffset>
          </wp:positionV>
          <wp:extent cx="2162175" cy="790575"/>
          <wp:effectExtent l="19050" t="0" r="9525" b="0"/>
          <wp:wrapNone/>
          <wp:docPr id="10" name="Picture 4" descr="Creative Comm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jpg"/>
                  <pic:cNvPicPr/>
                </pic:nvPicPr>
                <pic:blipFill>
                  <a:blip r:embed="rId1"/>
                  <a:stretch>
                    <a:fillRect/>
                  </a:stretch>
                </pic:blipFill>
                <pic:spPr>
                  <a:xfrm>
                    <a:off x="0" y="0"/>
                    <a:ext cx="2162175" cy="790575"/>
                  </a:xfrm>
                  <a:prstGeom prst="rect">
                    <a:avLst/>
                  </a:prstGeom>
                </pic:spPr>
              </pic:pic>
            </a:graphicData>
          </a:graphic>
        </wp:anchor>
      </w:drawing>
    </w:r>
    <w:r w:rsidRPr="00F63158">
      <w:rPr>
        <w:noProof/>
        <w:lang w:val="en-US" w:eastAsia="zh-CN" w:bidi="th-TH"/>
      </w:rPr>
      <w:drawing>
        <wp:anchor distT="0" distB="0" distL="114300" distR="114300" simplePos="0" relativeHeight="251659264" behindDoc="1" locked="1" layoutInCell="1" allowOverlap="1">
          <wp:simplePos x="0" y="0"/>
          <wp:positionH relativeFrom="page">
            <wp:posOffset>0</wp:posOffset>
          </wp:positionH>
          <wp:positionV relativeFrom="page">
            <wp:posOffset>9563100</wp:posOffset>
          </wp:positionV>
          <wp:extent cx="1267460" cy="1123950"/>
          <wp:effectExtent l="19050" t="0" r="8890" b="0"/>
          <wp:wrapNone/>
          <wp:docPr id="9" name="Picture 9" descr="Footer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P1.jpg"/>
                  <pic:cNvPicPr/>
                </pic:nvPicPr>
                <pic:blipFill>
                  <a:blip r:embed="rId2"/>
                  <a:stretch>
                    <a:fillRect/>
                  </a:stretch>
                </pic:blipFill>
                <pic:spPr>
                  <a:xfrm>
                    <a:off x="0" y="0"/>
                    <a:ext cx="1267460" cy="11239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137" w:rsidRDefault="005A6137" w:rsidP="002E269F">
      <w:pPr>
        <w:spacing w:after="0" w:line="240" w:lineRule="auto"/>
      </w:pPr>
      <w:r>
        <w:separator/>
      </w:r>
    </w:p>
  </w:footnote>
  <w:footnote w:type="continuationSeparator" w:id="0">
    <w:p w:rsidR="005A6137" w:rsidRDefault="005A6137" w:rsidP="002E2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37" w:rsidRDefault="005A6137">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6856C3">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856C3">
      <w:rPr>
        <w:b/>
        <w:noProof/>
      </w:rPr>
      <w:t>14</w:t>
    </w:r>
    <w:r>
      <w:rPr>
        <w:b/>
        <w:sz w:val="24"/>
        <w:szCs w:val="24"/>
      </w:rPr>
      <w:fldChar w:fldCharType="end"/>
    </w:r>
    <w:r>
      <w:rPr>
        <w:b/>
        <w:sz w:val="24"/>
        <w:szCs w:val="24"/>
      </w:rPr>
      <w:tab/>
      <w:t>Teaching RDA: Module 4</w:t>
    </w:r>
    <w:r>
      <w:rPr>
        <w:b/>
        <w:sz w:val="24"/>
        <w:szCs w:val="24"/>
      </w:rPr>
      <w:tab/>
      <w:t>September 2012</w:t>
    </w:r>
  </w:p>
  <w:p w:rsidR="005A6137" w:rsidRDefault="005A6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ABD"/>
    <w:multiLevelType w:val="hybridMultilevel"/>
    <w:tmpl w:val="3A52E3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7D70A1"/>
    <w:multiLevelType w:val="hybridMultilevel"/>
    <w:tmpl w:val="C1B6D864"/>
    <w:lvl w:ilvl="0" w:tplc="FC74B15C">
      <w:numFmt w:val="bullet"/>
      <w:lvlText w:val="-"/>
      <w:lvlJc w:val="left"/>
      <w:pPr>
        <w:ind w:left="720" w:hanging="360"/>
      </w:pPr>
      <w:rPr>
        <w:rFonts w:ascii="Calibri" w:eastAsia="+mn-ea"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D4C59"/>
    <w:multiLevelType w:val="hybridMultilevel"/>
    <w:tmpl w:val="C188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97017"/>
    <w:multiLevelType w:val="hybridMultilevel"/>
    <w:tmpl w:val="C0DA2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465D7"/>
    <w:multiLevelType w:val="hybridMultilevel"/>
    <w:tmpl w:val="43DA6AE6"/>
    <w:lvl w:ilvl="0" w:tplc="AD70223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3111B"/>
    <w:multiLevelType w:val="hybridMultilevel"/>
    <w:tmpl w:val="0FBAB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630C7A"/>
    <w:multiLevelType w:val="hybridMultilevel"/>
    <w:tmpl w:val="2C5C201A"/>
    <w:lvl w:ilvl="0" w:tplc="FC74B15C">
      <w:numFmt w:val="bullet"/>
      <w:lvlText w:val="-"/>
      <w:lvlJc w:val="left"/>
      <w:pPr>
        <w:ind w:left="720" w:hanging="360"/>
      </w:pPr>
      <w:rPr>
        <w:rFonts w:ascii="Calibri" w:eastAsia="+mn-ea"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15616"/>
    <w:multiLevelType w:val="hybridMultilevel"/>
    <w:tmpl w:val="9D72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B5CE3"/>
    <w:multiLevelType w:val="hybridMultilevel"/>
    <w:tmpl w:val="9AC8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DA5AF3"/>
    <w:multiLevelType w:val="hybridMultilevel"/>
    <w:tmpl w:val="B3A440D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793DBB"/>
    <w:multiLevelType w:val="hybridMultilevel"/>
    <w:tmpl w:val="CACCA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1A1A11"/>
    <w:multiLevelType w:val="hybridMultilevel"/>
    <w:tmpl w:val="013C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D6220B"/>
    <w:multiLevelType w:val="hybridMultilevel"/>
    <w:tmpl w:val="5D14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5F303B"/>
    <w:multiLevelType w:val="hybridMultilevel"/>
    <w:tmpl w:val="0F9C1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F095BE1"/>
    <w:multiLevelType w:val="hybridMultilevel"/>
    <w:tmpl w:val="F444788A"/>
    <w:lvl w:ilvl="0" w:tplc="8FE4B3E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22320"/>
    <w:multiLevelType w:val="hybridMultilevel"/>
    <w:tmpl w:val="315CEA08"/>
    <w:lvl w:ilvl="0" w:tplc="FC74B15C">
      <w:numFmt w:val="bullet"/>
      <w:lvlText w:val="-"/>
      <w:lvlJc w:val="left"/>
      <w:pPr>
        <w:ind w:left="720" w:hanging="360"/>
      </w:pPr>
      <w:rPr>
        <w:rFonts w:ascii="Calibri" w:eastAsia="+mn-ea"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AA6B06"/>
    <w:multiLevelType w:val="hybridMultilevel"/>
    <w:tmpl w:val="D4AE97FA"/>
    <w:lvl w:ilvl="0" w:tplc="AD702234">
      <w:start w:val="3"/>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8689F"/>
    <w:multiLevelType w:val="hybridMultilevel"/>
    <w:tmpl w:val="426694C2"/>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B97473"/>
    <w:multiLevelType w:val="hybridMultilevel"/>
    <w:tmpl w:val="5D0C2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FE4276"/>
    <w:multiLevelType w:val="hybridMultilevel"/>
    <w:tmpl w:val="C4688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6875E7"/>
    <w:multiLevelType w:val="hybridMultilevel"/>
    <w:tmpl w:val="C5CE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E58DB"/>
    <w:multiLevelType w:val="hybridMultilevel"/>
    <w:tmpl w:val="26E81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B1511D"/>
    <w:multiLevelType w:val="hybridMultilevel"/>
    <w:tmpl w:val="3966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9460B4"/>
    <w:multiLevelType w:val="hybridMultilevel"/>
    <w:tmpl w:val="3F5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122E3A"/>
    <w:multiLevelType w:val="hybridMultilevel"/>
    <w:tmpl w:val="B092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53582A"/>
    <w:multiLevelType w:val="hybridMultilevel"/>
    <w:tmpl w:val="1F2A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5D137B"/>
    <w:multiLevelType w:val="hybridMultilevel"/>
    <w:tmpl w:val="2298A0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778021B"/>
    <w:multiLevelType w:val="hybridMultilevel"/>
    <w:tmpl w:val="67E8A5F8"/>
    <w:lvl w:ilvl="0" w:tplc="AD702234">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FE2B7D"/>
    <w:multiLevelType w:val="hybridMultilevel"/>
    <w:tmpl w:val="31BC89DA"/>
    <w:lvl w:ilvl="0" w:tplc="FC74B15C">
      <w:numFmt w:val="bullet"/>
      <w:lvlText w:val="-"/>
      <w:lvlJc w:val="left"/>
      <w:pPr>
        <w:ind w:left="720" w:hanging="360"/>
      </w:pPr>
      <w:rPr>
        <w:rFonts w:ascii="Calibri" w:eastAsia="+mn-ea" w:hAnsi="Calibri" w:cs="Calibri" w:hint="default"/>
        <w:color w:val="000000"/>
      </w:rPr>
    </w:lvl>
    <w:lvl w:ilvl="1" w:tplc="FC74B15C">
      <w:numFmt w:val="bullet"/>
      <w:lvlText w:val="-"/>
      <w:lvlJc w:val="left"/>
      <w:pPr>
        <w:ind w:left="1440" w:hanging="360"/>
      </w:pPr>
      <w:rPr>
        <w:rFonts w:ascii="Calibri" w:eastAsia="+mn-ea"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6E7EB7"/>
    <w:multiLevelType w:val="hybridMultilevel"/>
    <w:tmpl w:val="FA5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4878B5"/>
    <w:multiLevelType w:val="hybridMultilevel"/>
    <w:tmpl w:val="F07C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561D72"/>
    <w:multiLevelType w:val="hybridMultilevel"/>
    <w:tmpl w:val="AA120634"/>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020709"/>
    <w:multiLevelType w:val="hybridMultilevel"/>
    <w:tmpl w:val="B232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82B5D"/>
    <w:multiLevelType w:val="hybridMultilevel"/>
    <w:tmpl w:val="85C6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954E18"/>
    <w:multiLevelType w:val="hybridMultilevel"/>
    <w:tmpl w:val="0F44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83AF9"/>
    <w:multiLevelType w:val="hybridMultilevel"/>
    <w:tmpl w:val="A28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55A7C"/>
    <w:multiLevelType w:val="hybridMultilevel"/>
    <w:tmpl w:val="6FB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62511C"/>
    <w:multiLevelType w:val="hybridMultilevel"/>
    <w:tmpl w:val="E996E64C"/>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A5315D"/>
    <w:multiLevelType w:val="hybridMultilevel"/>
    <w:tmpl w:val="0A9A2F20"/>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3"/>
  </w:num>
  <w:num w:numId="4">
    <w:abstractNumId w:val="5"/>
  </w:num>
  <w:num w:numId="5">
    <w:abstractNumId w:val="22"/>
  </w:num>
  <w:num w:numId="6">
    <w:abstractNumId w:val="20"/>
  </w:num>
  <w:num w:numId="7">
    <w:abstractNumId w:val="36"/>
  </w:num>
  <w:num w:numId="8">
    <w:abstractNumId w:val="34"/>
  </w:num>
  <w:num w:numId="9">
    <w:abstractNumId w:val="27"/>
  </w:num>
  <w:num w:numId="10">
    <w:abstractNumId w:val="18"/>
  </w:num>
  <w:num w:numId="11">
    <w:abstractNumId w:val="8"/>
  </w:num>
  <w:num w:numId="12">
    <w:abstractNumId w:val="3"/>
  </w:num>
  <w:num w:numId="13">
    <w:abstractNumId w:val="32"/>
  </w:num>
  <w:num w:numId="14">
    <w:abstractNumId w:val="0"/>
  </w:num>
  <w:num w:numId="15">
    <w:abstractNumId w:val="26"/>
  </w:num>
  <w:num w:numId="16">
    <w:abstractNumId w:val="10"/>
  </w:num>
  <w:num w:numId="17">
    <w:abstractNumId w:val="12"/>
  </w:num>
  <w:num w:numId="18">
    <w:abstractNumId w:val="1"/>
  </w:num>
  <w:num w:numId="19">
    <w:abstractNumId w:val="6"/>
  </w:num>
  <w:num w:numId="20">
    <w:abstractNumId w:val="16"/>
  </w:num>
  <w:num w:numId="21">
    <w:abstractNumId w:val="28"/>
  </w:num>
  <w:num w:numId="22">
    <w:abstractNumId w:val="15"/>
  </w:num>
  <w:num w:numId="23">
    <w:abstractNumId w:val="17"/>
  </w:num>
  <w:num w:numId="24">
    <w:abstractNumId w:val="21"/>
  </w:num>
  <w:num w:numId="25">
    <w:abstractNumId w:val="11"/>
  </w:num>
  <w:num w:numId="26">
    <w:abstractNumId w:val="9"/>
  </w:num>
  <w:num w:numId="27">
    <w:abstractNumId w:val="37"/>
  </w:num>
  <w:num w:numId="28">
    <w:abstractNumId w:val="14"/>
  </w:num>
  <w:num w:numId="29">
    <w:abstractNumId w:val="7"/>
  </w:num>
  <w:num w:numId="30">
    <w:abstractNumId w:val="4"/>
  </w:num>
  <w:num w:numId="31">
    <w:abstractNumId w:val="29"/>
  </w:num>
  <w:num w:numId="32">
    <w:abstractNumId w:val="23"/>
  </w:num>
  <w:num w:numId="33">
    <w:abstractNumId w:val="2"/>
  </w:num>
  <w:num w:numId="34">
    <w:abstractNumId w:val="38"/>
  </w:num>
  <w:num w:numId="35">
    <w:abstractNumId w:val="31"/>
  </w:num>
  <w:num w:numId="36">
    <w:abstractNumId w:val="30"/>
  </w:num>
  <w:num w:numId="37">
    <w:abstractNumId w:val="25"/>
  </w:num>
  <w:num w:numId="38">
    <w:abstractNumId w:val="24"/>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52E1"/>
    <w:rsid w:val="00004146"/>
    <w:rsid w:val="000107C8"/>
    <w:rsid w:val="00013828"/>
    <w:rsid w:val="00016256"/>
    <w:rsid w:val="0002602F"/>
    <w:rsid w:val="00040512"/>
    <w:rsid w:val="00045CBD"/>
    <w:rsid w:val="000809A2"/>
    <w:rsid w:val="00082166"/>
    <w:rsid w:val="00086D18"/>
    <w:rsid w:val="000A6AE4"/>
    <w:rsid w:val="000B36A9"/>
    <w:rsid w:val="000C279B"/>
    <w:rsid w:val="000C28BD"/>
    <w:rsid w:val="000D0446"/>
    <w:rsid w:val="000E5B35"/>
    <w:rsid w:val="000F52E1"/>
    <w:rsid w:val="000F6CFA"/>
    <w:rsid w:val="0010150D"/>
    <w:rsid w:val="00116689"/>
    <w:rsid w:val="0011772D"/>
    <w:rsid w:val="00131BB2"/>
    <w:rsid w:val="0013228E"/>
    <w:rsid w:val="00135344"/>
    <w:rsid w:val="00135516"/>
    <w:rsid w:val="00142F8C"/>
    <w:rsid w:val="00145A82"/>
    <w:rsid w:val="001746B9"/>
    <w:rsid w:val="00181095"/>
    <w:rsid w:val="00182A05"/>
    <w:rsid w:val="00193500"/>
    <w:rsid w:val="001950AE"/>
    <w:rsid w:val="00196F89"/>
    <w:rsid w:val="001A17FD"/>
    <w:rsid w:val="001A6B67"/>
    <w:rsid w:val="001A78A3"/>
    <w:rsid w:val="001B2D0A"/>
    <w:rsid w:val="001C11DD"/>
    <w:rsid w:val="001D39BD"/>
    <w:rsid w:val="001D76E0"/>
    <w:rsid w:val="001D792D"/>
    <w:rsid w:val="002048DC"/>
    <w:rsid w:val="00205C13"/>
    <w:rsid w:val="002300B2"/>
    <w:rsid w:val="002329D5"/>
    <w:rsid w:val="00240F40"/>
    <w:rsid w:val="0024607D"/>
    <w:rsid w:val="00257CEC"/>
    <w:rsid w:val="00263044"/>
    <w:rsid w:val="0026776B"/>
    <w:rsid w:val="00274C0C"/>
    <w:rsid w:val="0028203C"/>
    <w:rsid w:val="002824E7"/>
    <w:rsid w:val="0028369E"/>
    <w:rsid w:val="002B73FF"/>
    <w:rsid w:val="002C6BEF"/>
    <w:rsid w:val="002C7E63"/>
    <w:rsid w:val="002E269F"/>
    <w:rsid w:val="002F65AF"/>
    <w:rsid w:val="002F71D0"/>
    <w:rsid w:val="002F74DE"/>
    <w:rsid w:val="00302EF0"/>
    <w:rsid w:val="0031042B"/>
    <w:rsid w:val="0031162F"/>
    <w:rsid w:val="0031777E"/>
    <w:rsid w:val="00324397"/>
    <w:rsid w:val="00333DF3"/>
    <w:rsid w:val="0034203C"/>
    <w:rsid w:val="00351E16"/>
    <w:rsid w:val="00364126"/>
    <w:rsid w:val="00367C4D"/>
    <w:rsid w:val="00370691"/>
    <w:rsid w:val="00371B0A"/>
    <w:rsid w:val="003733C2"/>
    <w:rsid w:val="00382A0E"/>
    <w:rsid w:val="00390B1A"/>
    <w:rsid w:val="003A0659"/>
    <w:rsid w:val="003B0CFD"/>
    <w:rsid w:val="003B4270"/>
    <w:rsid w:val="003B4C3F"/>
    <w:rsid w:val="003C6626"/>
    <w:rsid w:val="003D07DB"/>
    <w:rsid w:val="003E4DD2"/>
    <w:rsid w:val="003E5774"/>
    <w:rsid w:val="004101F9"/>
    <w:rsid w:val="00412EBE"/>
    <w:rsid w:val="0042008E"/>
    <w:rsid w:val="00421433"/>
    <w:rsid w:val="00423790"/>
    <w:rsid w:val="00431D7B"/>
    <w:rsid w:val="004338D8"/>
    <w:rsid w:val="00433CA6"/>
    <w:rsid w:val="00445F2F"/>
    <w:rsid w:val="00463F9D"/>
    <w:rsid w:val="00470301"/>
    <w:rsid w:val="00480147"/>
    <w:rsid w:val="004812FC"/>
    <w:rsid w:val="004A12E4"/>
    <w:rsid w:val="004A14D3"/>
    <w:rsid w:val="004A687A"/>
    <w:rsid w:val="004C6286"/>
    <w:rsid w:val="004C6652"/>
    <w:rsid w:val="004E3D51"/>
    <w:rsid w:val="004E475A"/>
    <w:rsid w:val="004F0B68"/>
    <w:rsid w:val="004F0F2D"/>
    <w:rsid w:val="004F2F69"/>
    <w:rsid w:val="004F359C"/>
    <w:rsid w:val="004F3F61"/>
    <w:rsid w:val="00502F3F"/>
    <w:rsid w:val="00502FED"/>
    <w:rsid w:val="00505D7B"/>
    <w:rsid w:val="005168EF"/>
    <w:rsid w:val="00522766"/>
    <w:rsid w:val="0052526A"/>
    <w:rsid w:val="00532038"/>
    <w:rsid w:val="00533BB6"/>
    <w:rsid w:val="0053755A"/>
    <w:rsid w:val="00544DC3"/>
    <w:rsid w:val="00546A0B"/>
    <w:rsid w:val="0057671C"/>
    <w:rsid w:val="00590E69"/>
    <w:rsid w:val="005A6137"/>
    <w:rsid w:val="005B238B"/>
    <w:rsid w:val="005C4087"/>
    <w:rsid w:val="005C6FC7"/>
    <w:rsid w:val="005E106D"/>
    <w:rsid w:val="005E6C1F"/>
    <w:rsid w:val="00630304"/>
    <w:rsid w:val="0063577E"/>
    <w:rsid w:val="006365E4"/>
    <w:rsid w:val="00643451"/>
    <w:rsid w:val="0065775C"/>
    <w:rsid w:val="00657C09"/>
    <w:rsid w:val="00663DBE"/>
    <w:rsid w:val="00666305"/>
    <w:rsid w:val="00671532"/>
    <w:rsid w:val="006856C3"/>
    <w:rsid w:val="00693621"/>
    <w:rsid w:val="006B4DC3"/>
    <w:rsid w:val="006C4914"/>
    <w:rsid w:val="006D0CE2"/>
    <w:rsid w:val="006D17A5"/>
    <w:rsid w:val="006D63E7"/>
    <w:rsid w:val="006E2BF8"/>
    <w:rsid w:val="006F5BAC"/>
    <w:rsid w:val="0070743E"/>
    <w:rsid w:val="00712E98"/>
    <w:rsid w:val="00716E7F"/>
    <w:rsid w:val="0072617F"/>
    <w:rsid w:val="00734C71"/>
    <w:rsid w:val="007378A0"/>
    <w:rsid w:val="0075584D"/>
    <w:rsid w:val="00760B9F"/>
    <w:rsid w:val="00792A15"/>
    <w:rsid w:val="0079309C"/>
    <w:rsid w:val="00793CEE"/>
    <w:rsid w:val="007A4128"/>
    <w:rsid w:val="007B1D48"/>
    <w:rsid w:val="007E037F"/>
    <w:rsid w:val="007E045B"/>
    <w:rsid w:val="007E0E81"/>
    <w:rsid w:val="007F099B"/>
    <w:rsid w:val="007F2C3C"/>
    <w:rsid w:val="007F55E9"/>
    <w:rsid w:val="008127E2"/>
    <w:rsid w:val="0082593B"/>
    <w:rsid w:val="00833850"/>
    <w:rsid w:val="00836842"/>
    <w:rsid w:val="00843906"/>
    <w:rsid w:val="00843C55"/>
    <w:rsid w:val="00843E2E"/>
    <w:rsid w:val="00851E27"/>
    <w:rsid w:val="00856979"/>
    <w:rsid w:val="008620DB"/>
    <w:rsid w:val="00870A30"/>
    <w:rsid w:val="008C4290"/>
    <w:rsid w:val="008C6147"/>
    <w:rsid w:val="008D0E33"/>
    <w:rsid w:val="008E58B2"/>
    <w:rsid w:val="00906C8C"/>
    <w:rsid w:val="00907095"/>
    <w:rsid w:val="00907BCF"/>
    <w:rsid w:val="00932110"/>
    <w:rsid w:val="00932955"/>
    <w:rsid w:val="009563F3"/>
    <w:rsid w:val="00984D12"/>
    <w:rsid w:val="0099568F"/>
    <w:rsid w:val="009C72EC"/>
    <w:rsid w:val="009E4AD9"/>
    <w:rsid w:val="009E7D2E"/>
    <w:rsid w:val="00A13603"/>
    <w:rsid w:val="00A22363"/>
    <w:rsid w:val="00A34B6A"/>
    <w:rsid w:val="00A3514A"/>
    <w:rsid w:val="00A4630F"/>
    <w:rsid w:val="00A467E0"/>
    <w:rsid w:val="00A603E2"/>
    <w:rsid w:val="00A628CF"/>
    <w:rsid w:val="00A720F3"/>
    <w:rsid w:val="00A841F2"/>
    <w:rsid w:val="00A868FB"/>
    <w:rsid w:val="00A935DF"/>
    <w:rsid w:val="00AA24DF"/>
    <w:rsid w:val="00AB0CC6"/>
    <w:rsid w:val="00AC0582"/>
    <w:rsid w:val="00AC2180"/>
    <w:rsid w:val="00AD17A6"/>
    <w:rsid w:val="00AD1FBD"/>
    <w:rsid w:val="00AD2C45"/>
    <w:rsid w:val="00AE477C"/>
    <w:rsid w:val="00AE743B"/>
    <w:rsid w:val="00AF67B0"/>
    <w:rsid w:val="00B000E4"/>
    <w:rsid w:val="00B018C4"/>
    <w:rsid w:val="00B072BB"/>
    <w:rsid w:val="00B2234D"/>
    <w:rsid w:val="00B27448"/>
    <w:rsid w:val="00B3582B"/>
    <w:rsid w:val="00B45159"/>
    <w:rsid w:val="00B5056A"/>
    <w:rsid w:val="00B60D83"/>
    <w:rsid w:val="00B64CD6"/>
    <w:rsid w:val="00B74EE3"/>
    <w:rsid w:val="00B82A3F"/>
    <w:rsid w:val="00B82F25"/>
    <w:rsid w:val="00B859DA"/>
    <w:rsid w:val="00B93977"/>
    <w:rsid w:val="00B95D9A"/>
    <w:rsid w:val="00BA34F0"/>
    <w:rsid w:val="00BE1F8A"/>
    <w:rsid w:val="00BE67B8"/>
    <w:rsid w:val="00BF4B94"/>
    <w:rsid w:val="00C05033"/>
    <w:rsid w:val="00C21371"/>
    <w:rsid w:val="00C25E3A"/>
    <w:rsid w:val="00C263FF"/>
    <w:rsid w:val="00C30962"/>
    <w:rsid w:val="00C45C69"/>
    <w:rsid w:val="00C5024C"/>
    <w:rsid w:val="00C5615B"/>
    <w:rsid w:val="00C65CC3"/>
    <w:rsid w:val="00C736B0"/>
    <w:rsid w:val="00C84BBF"/>
    <w:rsid w:val="00C8510E"/>
    <w:rsid w:val="00C973D8"/>
    <w:rsid w:val="00CA0573"/>
    <w:rsid w:val="00CB2089"/>
    <w:rsid w:val="00CB64EB"/>
    <w:rsid w:val="00CC46F7"/>
    <w:rsid w:val="00CC4D06"/>
    <w:rsid w:val="00CE10EE"/>
    <w:rsid w:val="00CE1E51"/>
    <w:rsid w:val="00CE210F"/>
    <w:rsid w:val="00CE3E19"/>
    <w:rsid w:val="00CE65E4"/>
    <w:rsid w:val="00CF09F4"/>
    <w:rsid w:val="00CF12AC"/>
    <w:rsid w:val="00D03771"/>
    <w:rsid w:val="00D12A88"/>
    <w:rsid w:val="00D35D7F"/>
    <w:rsid w:val="00D373C4"/>
    <w:rsid w:val="00D45CB8"/>
    <w:rsid w:val="00D46E64"/>
    <w:rsid w:val="00D622B8"/>
    <w:rsid w:val="00D62E78"/>
    <w:rsid w:val="00D650F9"/>
    <w:rsid w:val="00D74468"/>
    <w:rsid w:val="00D75FB6"/>
    <w:rsid w:val="00D80EC1"/>
    <w:rsid w:val="00D9026E"/>
    <w:rsid w:val="00DA4183"/>
    <w:rsid w:val="00DB68F5"/>
    <w:rsid w:val="00DB6923"/>
    <w:rsid w:val="00DC37A0"/>
    <w:rsid w:val="00DC4E9B"/>
    <w:rsid w:val="00DD6B31"/>
    <w:rsid w:val="00DF3B6C"/>
    <w:rsid w:val="00DF4FCD"/>
    <w:rsid w:val="00E0008E"/>
    <w:rsid w:val="00E00443"/>
    <w:rsid w:val="00E12E31"/>
    <w:rsid w:val="00E14DB4"/>
    <w:rsid w:val="00E213BE"/>
    <w:rsid w:val="00E24347"/>
    <w:rsid w:val="00E34E37"/>
    <w:rsid w:val="00E52BA2"/>
    <w:rsid w:val="00E65F91"/>
    <w:rsid w:val="00E733DB"/>
    <w:rsid w:val="00E7497D"/>
    <w:rsid w:val="00E8207D"/>
    <w:rsid w:val="00EA3794"/>
    <w:rsid w:val="00EB4978"/>
    <w:rsid w:val="00ED0A42"/>
    <w:rsid w:val="00ED32AF"/>
    <w:rsid w:val="00ED5119"/>
    <w:rsid w:val="00EE7A55"/>
    <w:rsid w:val="00EE7EE0"/>
    <w:rsid w:val="00F021A7"/>
    <w:rsid w:val="00F2068E"/>
    <w:rsid w:val="00F24233"/>
    <w:rsid w:val="00F31BA3"/>
    <w:rsid w:val="00F37EB5"/>
    <w:rsid w:val="00F426EA"/>
    <w:rsid w:val="00F439E7"/>
    <w:rsid w:val="00F440E0"/>
    <w:rsid w:val="00F47706"/>
    <w:rsid w:val="00F54876"/>
    <w:rsid w:val="00F63158"/>
    <w:rsid w:val="00F709D7"/>
    <w:rsid w:val="00F800B9"/>
    <w:rsid w:val="00F80836"/>
    <w:rsid w:val="00F8747D"/>
    <w:rsid w:val="00F874E8"/>
    <w:rsid w:val="00F96CE5"/>
    <w:rsid w:val="00FA75BE"/>
    <w:rsid w:val="00FC13BB"/>
    <w:rsid w:val="00FC17AA"/>
    <w:rsid w:val="00FC5BD8"/>
    <w:rsid w:val="00FD33C1"/>
    <w:rsid w:val="00FD72B8"/>
  </w:rsids>
  <m:mathPr>
    <m:mathFont m:val="Cambria Math"/>
    <m:brkBin m:val="before"/>
    <m:brkBinSub m:val="--"/>
    <m:smallFrac m:val="off"/>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18" type="connector" idref="#_x0000_s1064"/>
        <o:r id="V:Rule19" type="connector" idref="#_x0000_s1077"/>
        <o:r id="V:Rule20" type="connector" idref="#_x0000_s1056"/>
        <o:r id="V:Rule21" type="connector" idref="#_x0000_s1061"/>
        <o:r id="V:Rule22" type="connector" idref="#_x0000_s1060"/>
        <o:r id="V:Rule23" type="connector" idref="#_x0000_s1073"/>
        <o:r id="V:Rule24" type="connector" idref="#_x0000_s1052"/>
        <o:r id="V:Rule25" type="connector" idref="#_x0000_s1079"/>
        <o:r id="V:Rule26" type="connector" idref="#_x0000_s1081"/>
        <o:r id="V:Rule27" type="connector" idref="#_x0000_s1070"/>
        <o:r id="V:Rule28" type="connector" idref="#_x0000_s1076"/>
        <o:r id="V:Rule29" type="connector" idref="#_x0000_s1078"/>
        <o:r id="V:Rule30" type="connector" idref="#_x0000_s1054"/>
        <o:r id="V:Rule31" type="connector" idref="#_x0000_s1063"/>
        <o:r id="V:Rule32" type="connector" idref="#_x0000_s1100"/>
        <o:r id="V:Rule33" type="connector" idref="#_x0000_s1068"/>
        <o:r id="V:Rule3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2E1"/>
    <w:pPr>
      <w:spacing w:after="200" w:line="276" w:lineRule="auto"/>
    </w:pPr>
    <w:rPr>
      <w:sz w:val="22"/>
      <w:szCs w:val="22"/>
      <w:lang w:val="en-AU" w:eastAsia="en-US" w:bidi="ar-SA"/>
    </w:rPr>
  </w:style>
  <w:style w:type="paragraph" w:styleId="Heading1">
    <w:name w:val="heading 1"/>
    <w:basedOn w:val="Normal"/>
    <w:next w:val="Normal"/>
    <w:link w:val="Heading1Char"/>
    <w:uiPriority w:val="9"/>
    <w:qFormat/>
    <w:rsid w:val="001A17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F52E1"/>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0F52E1"/>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1D792D"/>
    <w:pPr>
      <w:keepNext/>
      <w:spacing w:before="240" w:after="60"/>
      <w:outlineLvl w:val="3"/>
    </w:pPr>
    <w:rPr>
      <w:rFonts w:eastAsia="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2E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F52E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D792D"/>
    <w:rPr>
      <w:rFonts w:eastAsia="Times New Roman"/>
      <w:b/>
      <w:bCs/>
      <w:sz w:val="24"/>
      <w:szCs w:val="28"/>
      <w:lang w:val="en-AU" w:eastAsia="en-US" w:bidi="ar-SA"/>
    </w:rPr>
  </w:style>
  <w:style w:type="character" w:customStyle="1" w:styleId="Heading1Char">
    <w:name w:val="Heading 1 Char"/>
    <w:basedOn w:val="DefaultParagraphFont"/>
    <w:link w:val="Heading1"/>
    <w:uiPriority w:val="9"/>
    <w:rsid w:val="001A17FD"/>
    <w:rPr>
      <w:rFonts w:ascii="Cambria" w:eastAsia="Times New Roman" w:hAnsi="Cambria" w:cs="Times New Roman"/>
      <w:b/>
      <w:bCs/>
      <w:kern w:val="32"/>
      <w:sz w:val="32"/>
      <w:szCs w:val="32"/>
      <w:lang w:eastAsia="en-US"/>
    </w:rPr>
  </w:style>
  <w:style w:type="paragraph" w:styleId="NormalWeb">
    <w:name w:val="Normal (Web)"/>
    <w:basedOn w:val="Normal"/>
    <w:uiPriority w:val="99"/>
    <w:semiHidden/>
    <w:unhideWhenUsed/>
    <w:rsid w:val="00A34B6A"/>
    <w:pPr>
      <w:spacing w:before="100" w:beforeAutospacing="1" w:after="100" w:afterAutospacing="1"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3B0C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B0CFD"/>
    <w:rPr>
      <w:color w:val="0000FF"/>
      <w:u w:val="single"/>
    </w:rPr>
  </w:style>
  <w:style w:type="paragraph" w:styleId="ListParagraph">
    <w:name w:val="List Paragraph"/>
    <w:basedOn w:val="Normal"/>
    <w:uiPriority w:val="34"/>
    <w:qFormat/>
    <w:rsid w:val="00E213BE"/>
    <w:pPr>
      <w:ind w:left="720"/>
    </w:pPr>
  </w:style>
  <w:style w:type="paragraph" w:styleId="Header">
    <w:name w:val="header"/>
    <w:basedOn w:val="Normal"/>
    <w:link w:val="HeaderChar"/>
    <w:uiPriority w:val="99"/>
    <w:unhideWhenUsed/>
    <w:rsid w:val="002E269F"/>
    <w:pPr>
      <w:tabs>
        <w:tab w:val="center" w:pos="4680"/>
        <w:tab w:val="right" w:pos="9360"/>
      </w:tabs>
    </w:pPr>
  </w:style>
  <w:style w:type="character" w:customStyle="1" w:styleId="HeaderChar">
    <w:name w:val="Header Char"/>
    <w:basedOn w:val="DefaultParagraphFont"/>
    <w:link w:val="Header"/>
    <w:uiPriority w:val="99"/>
    <w:rsid w:val="002E269F"/>
    <w:rPr>
      <w:sz w:val="22"/>
      <w:szCs w:val="22"/>
      <w:lang w:val="en-AU" w:eastAsia="en-US" w:bidi="ar-SA"/>
    </w:rPr>
  </w:style>
  <w:style w:type="paragraph" w:styleId="Footer">
    <w:name w:val="footer"/>
    <w:basedOn w:val="Normal"/>
    <w:link w:val="FooterChar"/>
    <w:uiPriority w:val="99"/>
    <w:semiHidden/>
    <w:unhideWhenUsed/>
    <w:rsid w:val="002E269F"/>
    <w:pPr>
      <w:tabs>
        <w:tab w:val="center" w:pos="4680"/>
        <w:tab w:val="right" w:pos="9360"/>
      </w:tabs>
    </w:pPr>
  </w:style>
  <w:style w:type="character" w:customStyle="1" w:styleId="FooterChar">
    <w:name w:val="Footer Char"/>
    <w:basedOn w:val="DefaultParagraphFont"/>
    <w:link w:val="Footer"/>
    <w:uiPriority w:val="99"/>
    <w:semiHidden/>
    <w:rsid w:val="002E269F"/>
    <w:rPr>
      <w:sz w:val="22"/>
      <w:szCs w:val="22"/>
      <w:lang w:val="en-AU" w:eastAsia="en-US" w:bidi="ar-SA"/>
    </w:rPr>
  </w:style>
  <w:style w:type="paragraph" w:styleId="BalloonText">
    <w:name w:val="Balloon Text"/>
    <w:basedOn w:val="Normal"/>
    <w:link w:val="BalloonTextChar"/>
    <w:uiPriority w:val="99"/>
    <w:semiHidden/>
    <w:unhideWhenUsed/>
    <w:rsid w:val="00CB2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089"/>
    <w:rPr>
      <w:rFonts w:ascii="Tahoma" w:hAnsi="Tahoma" w:cs="Tahoma"/>
      <w:sz w:val="16"/>
      <w:szCs w:val="16"/>
      <w:lang w:val="en-AU" w:eastAsia="en-US" w:bidi="ar-SA"/>
    </w:rPr>
  </w:style>
</w:styles>
</file>

<file path=word/webSettings.xml><?xml version="1.0" encoding="utf-8"?>
<w:webSettings xmlns:r="http://schemas.openxmlformats.org/officeDocument/2006/relationships" xmlns:w="http://schemas.openxmlformats.org/wordprocessingml/2006/main">
  <w:divs>
    <w:div w:id="172961698">
      <w:bodyDiv w:val="1"/>
      <w:marLeft w:val="0"/>
      <w:marRight w:val="0"/>
      <w:marTop w:val="0"/>
      <w:marBottom w:val="0"/>
      <w:divBdr>
        <w:top w:val="none" w:sz="0" w:space="0" w:color="auto"/>
        <w:left w:val="none" w:sz="0" w:space="0" w:color="auto"/>
        <w:bottom w:val="none" w:sz="0" w:space="0" w:color="auto"/>
        <w:right w:val="none" w:sz="0" w:space="0" w:color="auto"/>
      </w:divBdr>
    </w:div>
    <w:div w:id="210843174">
      <w:bodyDiv w:val="1"/>
      <w:marLeft w:val="0"/>
      <w:marRight w:val="0"/>
      <w:marTop w:val="0"/>
      <w:marBottom w:val="0"/>
      <w:divBdr>
        <w:top w:val="none" w:sz="0" w:space="0" w:color="auto"/>
        <w:left w:val="none" w:sz="0" w:space="0" w:color="auto"/>
        <w:bottom w:val="none" w:sz="0" w:space="0" w:color="auto"/>
        <w:right w:val="none" w:sz="0" w:space="0" w:color="auto"/>
      </w:divBdr>
    </w:div>
    <w:div w:id="326054692">
      <w:bodyDiv w:val="1"/>
      <w:marLeft w:val="0"/>
      <w:marRight w:val="0"/>
      <w:marTop w:val="0"/>
      <w:marBottom w:val="0"/>
      <w:divBdr>
        <w:top w:val="none" w:sz="0" w:space="0" w:color="auto"/>
        <w:left w:val="none" w:sz="0" w:space="0" w:color="auto"/>
        <w:bottom w:val="none" w:sz="0" w:space="0" w:color="auto"/>
        <w:right w:val="none" w:sz="0" w:space="0" w:color="auto"/>
      </w:divBdr>
    </w:div>
    <w:div w:id="335420412">
      <w:bodyDiv w:val="1"/>
      <w:marLeft w:val="0"/>
      <w:marRight w:val="0"/>
      <w:marTop w:val="0"/>
      <w:marBottom w:val="0"/>
      <w:divBdr>
        <w:top w:val="none" w:sz="0" w:space="0" w:color="auto"/>
        <w:left w:val="none" w:sz="0" w:space="0" w:color="auto"/>
        <w:bottom w:val="none" w:sz="0" w:space="0" w:color="auto"/>
        <w:right w:val="none" w:sz="0" w:space="0" w:color="auto"/>
      </w:divBdr>
    </w:div>
    <w:div w:id="361593607">
      <w:bodyDiv w:val="1"/>
      <w:marLeft w:val="0"/>
      <w:marRight w:val="0"/>
      <w:marTop w:val="0"/>
      <w:marBottom w:val="0"/>
      <w:divBdr>
        <w:top w:val="none" w:sz="0" w:space="0" w:color="auto"/>
        <w:left w:val="none" w:sz="0" w:space="0" w:color="auto"/>
        <w:bottom w:val="none" w:sz="0" w:space="0" w:color="auto"/>
        <w:right w:val="none" w:sz="0" w:space="0" w:color="auto"/>
      </w:divBdr>
    </w:div>
    <w:div w:id="387534602">
      <w:bodyDiv w:val="1"/>
      <w:marLeft w:val="0"/>
      <w:marRight w:val="0"/>
      <w:marTop w:val="0"/>
      <w:marBottom w:val="0"/>
      <w:divBdr>
        <w:top w:val="none" w:sz="0" w:space="0" w:color="auto"/>
        <w:left w:val="none" w:sz="0" w:space="0" w:color="auto"/>
        <w:bottom w:val="none" w:sz="0" w:space="0" w:color="auto"/>
        <w:right w:val="none" w:sz="0" w:space="0" w:color="auto"/>
      </w:divBdr>
    </w:div>
    <w:div w:id="394087896">
      <w:bodyDiv w:val="1"/>
      <w:marLeft w:val="0"/>
      <w:marRight w:val="0"/>
      <w:marTop w:val="0"/>
      <w:marBottom w:val="0"/>
      <w:divBdr>
        <w:top w:val="none" w:sz="0" w:space="0" w:color="auto"/>
        <w:left w:val="none" w:sz="0" w:space="0" w:color="auto"/>
        <w:bottom w:val="none" w:sz="0" w:space="0" w:color="auto"/>
        <w:right w:val="none" w:sz="0" w:space="0" w:color="auto"/>
      </w:divBdr>
    </w:div>
    <w:div w:id="395786976">
      <w:bodyDiv w:val="1"/>
      <w:marLeft w:val="0"/>
      <w:marRight w:val="0"/>
      <w:marTop w:val="0"/>
      <w:marBottom w:val="0"/>
      <w:divBdr>
        <w:top w:val="none" w:sz="0" w:space="0" w:color="auto"/>
        <w:left w:val="none" w:sz="0" w:space="0" w:color="auto"/>
        <w:bottom w:val="none" w:sz="0" w:space="0" w:color="auto"/>
        <w:right w:val="none" w:sz="0" w:space="0" w:color="auto"/>
      </w:divBdr>
      <w:divsChild>
        <w:div w:id="1178230374">
          <w:marLeft w:val="0"/>
          <w:marRight w:val="0"/>
          <w:marTop w:val="0"/>
          <w:marBottom w:val="0"/>
          <w:divBdr>
            <w:top w:val="none" w:sz="0" w:space="0" w:color="auto"/>
            <w:left w:val="none" w:sz="0" w:space="0" w:color="auto"/>
            <w:bottom w:val="none" w:sz="0" w:space="0" w:color="auto"/>
            <w:right w:val="none" w:sz="0" w:space="0" w:color="auto"/>
          </w:divBdr>
          <w:divsChild>
            <w:div w:id="1550995320">
              <w:marLeft w:val="0"/>
              <w:marRight w:val="0"/>
              <w:marTop w:val="0"/>
              <w:marBottom w:val="0"/>
              <w:divBdr>
                <w:top w:val="none" w:sz="0" w:space="0" w:color="auto"/>
                <w:left w:val="none" w:sz="0" w:space="0" w:color="auto"/>
                <w:bottom w:val="none" w:sz="0" w:space="0" w:color="auto"/>
                <w:right w:val="none" w:sz="0" w:space="0" w:color="auto"/>
              </w:divBdr>
              <w:divsChild>
                <w:div w:id="164829682">
                  <w:marLeft w:val="0"/>
                  <w:marRight w:val="0"/>
                  <w:marTop w:val="0"/>
                  <w:marBottom w:val="0"/>
                  <w:divBdr>
                    <w:top w:val="none" w:sz="0" w:space="0" w:color="auto"/>
                    <w:left w:val="none" w:sz="0" w:space="0" w:color="auto"/>
                    <w:bottom w:val="none" w:sz="0" w:space="0" w:color="auto"/>
                    <w:right w:val="none" w:sz="0" w:space="0" w:color="auto"/>
                  </w:divBdr>
                  <w:divsChild>
                    <w:div w:id="995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092726">
      <w:bodyDiv w:val="1"/>
      <w:marLeft w:val="0"/>
      <w:marRight w:val="0"/>
      <w:marTop w:val="0"/>
      <w:marBottom w:val="0"/>
      <w:divBdr>
        <w:top w:val="none" w:sz="0" w:space="0" w:color="auto"/>
        <w:left w:val="none" w:sz="0" w:space="0" w:color="auto"/>
        <w:bottom w:val="none" w:sz="0" w:space="0" w:color="auto"/>
        <w:right w:val="none" w:sz="0" w:space="0" w:color="auto"/>
      </w:divBdr>
    </w:div>
    <w:div w:id="442842658">
      <w:bodyDiv w:val="1"/>
      <w:marLeft w:val="0"/>
      <w:marRight w:val="0"/>
      <w:marTop w:val="0"/>
      <w:marBottom w:val="0"/>
      <w:divBdr>
        <w:top w:val="none" w:sz="0" w:space="0" w:color="auto"/>
        <w:left w:val="none" w:sz="0" w:space="0" w:color="auto"/>
        <w:bottom w:val="none" w:sz="0" w:space="0" w:color="auto"/>
        <w:right w:val="none" w:sz="0" w:space="0" w:color="auto"/>
      </w:divBdr>
    </w:div>
    <w:div w:id="481237582">
      <w:bodyDiv w:val="1"/>
      <w:marLeft w:val="0"/>
      <w:marRight w:val="0"/>
      <w:marTop w:val="0"/>
      <w:marBottom w:val="0"/>
      <w:divBdr>
        <w:top w:val="none" w:sz="0" w:space="0" w:color="auto"/>
        <w:left w:val="none" w:sz="0" w:space="0" w:color="auto"/>
        <w:bottom w:val="none" w:sz="0" w:space="0" w:color="auto"/>
        <w:right w:val="none" w:sz="0" w:space="0" w:color="auto"/>
      </w:divBdr>
    </w:div>
    <w:div w:id="512573238">
      <w:bodyDiv w:val="1"/>
      <w:marLeft w:val="0"/>
      <w:marRight w:val="0"/>
      <w:marTop w:val="0"/>
      <w:marBottom w:val="0"/>
      <w:divBdr>
        <w:top w:val="none" w:sz="0" w:space="0" w:color="auto"/>
        <w:left w:val="none" w:sz="0" w:space="0" w:color="auto"/>
        <w:bottom w:val="none" w:sz="0" w:space="0" w:color="auto"/>
        <w:right w:val="none" w:sz="0" w:space="0" w:color="auto"/>
      </w:divBdr>
    </w:div>
    <w:div w:id="559825809">
      <w:bodyDiv w:val="1"/>
      <w:marLeft w:val="0"/>
      <w:marRight w:val="0"/>
      <w:marTop w:val="0"/>
      <w:marBottom w:val="0"/>
      <w:divBdr>
        <w:top w:val="none" w:sz="0" w:space="0" w:color="auto"/>
        <w:left w:val="none" w:sz="0" w:space="0" w:color="auto"/>
        <w:bottom w:val="none" w:sz="0" w:space="0" w:color="auto"/>
        <w:right w:val="none" w:sz="0" w:space="0" w:color="auto"/>
      </w:divBdr>
    </w:div>
    <w:div w:id="603730430">
      <w:bodyDiv w:val="1"/>
      <w:marLeft w:val="0"/>
      <w:marRight w:val="0"/>
      <w:marTop w:val="0"/>
      <w:marBottom w:val="0"/>
      <w:divBdr>
        <w:top w:val="none" w:sz="0" w:space="0" w:color="auto"/>
        <w:left w:val="none" w:sz="0" w:space="0" w:color="auto"/>
        <w:bottom w:val="none" w:sz="0" w:space="0" w:color="auto"/>
        <w:right w:val="none" w:sz="0" w:space="0" w:color="auto"/>
      </w:divBdr>
    </w:div>
    <w:div w:id="614364284">
      <w:bodyDiv w:val="1"/>
      <w:marLeft w:val="0"/>
      <w:marRight w:val="0"/>
      <w:marTop w:val="0"/>
      <w:marBottom w:val="0"/>
      <w:divBdr>
        <w:top w:val="none" w:sz="0" w:space="0" w:color="auto"/>
        <w:left w:val="none" w:sz="0" w:space="0" w:color="auto"/>
        <w:bottom w:val="none" w:sz="0" w:space="0" w:color="auto"/>
        <w:right w:val="none" w:sz="0" w:space="0" w:color="auto"/>
      </w:divBdr>
    </w:div>
    <w:div w:id="701980954">
      <w:bodyDiv w:val="1"/>
      <w:marLeft w:val="0"/>
      <w:marRight w:val="0"/>
      <w:marTop w:val="0"/>
      <w:marBottom w:val="0"/>
      <w:divBdr>
        <w:top w:val="none" w:sz="0" w:space="0" w:color="auto"/>
        <w:left w:val="none" w:sz="0" w:space="0" w:color="auto"/>
        <w:bottom w:val="none" w:sz="0" w:space="0" w:color="auto"/>
        <w:right w:val="none" w:sz="0" w:space="0" w:color="auto"/>
      </w:divBdr>
    </w:div>
    <w:div w:id="737484809">
      <w:bodyDiv w:val="1"/>
      <w:marLeft w:val="0"/>
      <w:marRight w:val="0"/>
      <w:marTop w:val="0"/>
      <w:marBottom w:val="0"/>
      <w:divBdr>
        <w:top w:val="none" w:sz="0" w:space="0" w:color="auto"/>
        <w:left w:val="none" w:sz="0" w:space="0" w:color="auto"/>
        <w:bottom w:val="none" w:sz="0" w:space="0" w:color="auto"/>
        <w:right w:val="none" w:sz="0" w:space="0" w:color="auto"/>
      </w:divBdr>
    </w:div>
    <w:div w:id="876311215">
      <w:bodyDiv w:val="1"/>
      <w:marLeft w:val="0"/>
      <w:marRight w:val="0"/>
      <w:marTop w:val="0"/>
      <w:marBottom w:val="0"/>
      <w:divBdr>
        <w:top w:val="none" w:sz="0" w:space="0" w:color="auto"/>
        <w:left w:val="none" w:sz="0" w:space="0" w:color="auto"/>
        <w:bottom w:val="none" w:sz="0" w:space="0" w:color="auto"/>
        <w:right w:val="none" w:sz="0" w:space="0" w:color="auto"/>
      </w:divBdr>
    </w:div>
    <w:div w:id="946809308">
      <w:bodyDiv w:val="1"/>
      <w:marLeft w:val="0"/>
      <w:marRight w:val="0"/>
      <w:marTop w:val="0"/>
      <w:marBottom w:val="0"/>
      <w:divBdr>
        <w:top w:val="none" w:sz="0" w:space="0" w:color="auto"/>
        <w:left w:val="none" w:sz="0" w:space="0" w:color="auto"/>
        <w:bottom w:val="none" w:sz="0" w:space="0" w:color="auto"/>
        <w:right w:val="none" w:sz="0" w:space="0" w:color="auto"/>
      </w:divBdr>
    </w:div>
    <w:div w:id="951939685">
      <w:bodyDiv w:val="1"/>
      <w:marLeft w:val="0"/>
      <w:marRight w:val="0"/>
      <w:marTop w:val="0"/>
      <w:marBottom w:val="0"/>
      <w:divBdr>
        <w:top w:val="none" w:sz="0" w:space="0" w:color="auto"/>
        <w:left w:val="none" w:sz="0" w:space="0" w:color="auto"/>
        <w:bottom w:val="none" w:sz="0" w:space="0" w:color="auto"/>
        <w:right w:val="none" w:sz="0" w:space="0" w:color="auto"/>
      </w:divBdr>
    </w:div>
    <w:div w:id="966663706">
      <w:bodyDiv w:val="1"/>
      <w:marLeft w:val="0"/>
      <w:marRight w:val="0"/>
      <w:marTop w:val="0"/>
      <w:marBottom w:val="0"/>
      <w:divBdr>
        <w:top w:val="none" w:sz="0" w:space="0" w:color="auto"/>
        <w:left w:val="none" w:sz="0" w:space="0" w:color="auto"/>
        <w:bottom w:val="none" w:sz="0" w:space="0" w:color="auto"/>
        <w:right w:val="none" w:sz="0" w:space="0" w:color="auto"/>
      </w:divBdr>
    </w:div>
    <w:div w:id="982394632">
      <w:bodyDiv w:val="1"/>
      <w:marLeft w:val="0"/>
      <w:marRight w:val="0"/>
      <w:marTop w:val="0"/>
      <w:marBottom w:val="0"/>
      <w:divBdr>
        <w:top w:val="none" w:sz="0" w:space="0" w:color="auto"/>
        <w:left w:val="none" w:sz="0" w:space="0" w:color="auto"/>
        <w:bottom w:val="none" w:sz="0" w:space="0" w:color="auto"/>
        <w:right w:val="none" w:sz="0" w:space="0" w:color="auto"/>
      </w:divBdr>
    </w:div>
    <w:div w:id="1032728083">
      <w:bodyDiv w:val="1"/>
      <w:marLeft w:val="0"/>
      <w:marRight w:val="0"/>
      <w:marTop w:val="0"/>
      <w:marBottom w:val="0"/>
      <w:divBdr>
        <w:top w:val="none" w:sz="0" w:space="0" w:color="auto"/>
        <w:left w:val="none" w:sz="0" w:space="0" w:color="auto"/>
        <w:bottom w:val="none" w:sz="0" w:space="0" w:color="auto"/>
        <w:right w:val="none" w:sz="0" w:space="0" w:color="auto"/>
      </w:divBdr>
    </w:div>
    <w:div w:id="1074276724">
      <w:bodyDiv w:val="1"/>
      <w:marLeft w:val="0"/>
      <w:marRight w:val="0"/>
      <w:marTop w:val="0"/>
      <w:marBottom w:val="0"/>
      <w:divBdr>
        <w:top w:val="none" w:sz="0" w:space="0" w:color="auto"/>
        <w:left w:val="none" w:sz="0" w:space="0" w:color="auto"/>
        <w:bottom w:val="none" w:sz="0" w:space="0" w:color="auto"/>
        <w:right w:val="none" w:sz="0" w:space="0" w:color="auto"/>
      </w:divBdr>
      <w:divsChild>
        <w:div w:id="1254317750">
          <w:marLeft w:val="0"/>
          <w:marRight w:val="0"/>
          <w:marTop w:val="0"/>
          <w:marBottom w:val="0"/>
          <w:divBdr>
            <w:top w:val="none" w:sz="0" w:space="0" w:color="auto"/>
            <w:left w:val="none" w:sz="0" w:space="0" w:color="auto"/>
            <w:bottom w:val="none" w:sz="0" w:space="0" w:color="auto"/>
            <w:right w:val="none" w:sz="0" w:space="0" w:color="auto"/>
          </w:divBdr>
          <w:divsChild>
            <w:div w:id="1243297054">
              <w:marLeft w:val="0"/>
              <w:marRight w:val="0"/>
              <w:marTop w:val="0"/>
              <w:marBottom w:val="0"/>
              <w:divBdr>
                <w:top w:val="none" w:sz="0" w:space="0" w:color="auto"/>
                <w:left w:val="none" w:sz="0" w:space="0" w:color="auto"/>
                <w:bottom w:val="none" w:sz="0" w:space="0" w:color="auto"/>
                <w:right w:val="none" w:sz="0" w:space="0" w:color="auto"/>
              </w:divBdr>
              <w:divsChild>
                <w:div w:id="18051161">
                  <w:marLeft w:val="0"/>
                  <w:marRight w:val="0"/>
                  <w:marTop w:val="0"/>
                  <w:marBottom w:val="0"/>
                  <w:divBdr>
                    <w:top w:val="none" w:sz="0" w:space="0" w:color="auto"/>
                    <w:left w:val="none" w:sz="0" w:space="0" w:color="auto"/>
                    <w:bottom w:val="none" w:sz="0" w:space="0" w:color="auto"/>
                    <w:right w:val="none" w:sz="0" w:space="0" w:color="auto"/>
                  </w:divBdr>
                </w:div>
                <w:div w:id="802312878">
                  <w:marLeft w:val="0"/>
                  <w:marRight w:val="0"/>
                  <w:marTop w:val="0"/>
                  <w:marBottom w:val="0"/>
                  <w:divBdr>
                    <w:top w:val="none" w:sz="0" w:space="0" w:color="auto"/>
                    <w:left w:val="none" w:sz="0" w:space="0" w:color="auto"/>
                    <w:bottom w:val="none" w:sz="0" w:space="0" w:color="auto"/>
                    <w:right w:val="none" w:sz="0" w:space="0" w:color="auto"/>
                  </w:divBdr>
                </w:div>
                <w:div w:id="11102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23744">
          <w:marLeft w:val="0"/>
          <w:marRight w:val="0"/>
          <w:marTop w:val="0"/>
          <w:marBottom w:val="0"/>
          <w:divBdr>
            <w:top w:val="none" w:sz="0" w:space="0" w:color="auto"/>
            <w:left w:val="none" w:sz="0" w:space="0" w:color="auto"/>
            <w:bottom w:val="none" w:sz="0" w:space="0" w:color="auto"/>
            <w:right w:val="none" w:sz="0" w:space="0" w:color="auto"/>
          </w:divBdr>
          <w:divsChild>
            <w:div w:id="1557005522">
              <w:marLeft w:val="0"/>
              <w:marRight w:val="0"/>
              <w:marTop w:val="0"/>
              <w:marBottom w:val="0"/>
              <w:divBdr>
                <w:top w:val="none" w:sz="0" w:space="0" w:color="auto"/>
                <w:left w:val="none" w:sz="0" w:space="0" w:color="auto"/>
                <w:bottom w:val="none" w:sz="0" w:space="0" w:color="auto"/>
                <w:right w:val="none" w:sz="0" w:space="0" w:color="auto"/>
              </w:divBdr>
              <w:divsChild>
                <w:div w:id="233471567">
                  <w:marLeft w:val="0"/>
                  <w:marRight w:val="0"/>
                  <w:marTop w:val="0"/>
                  <w:marBottom w:val="0"/>
                  <w:divBdr>
                    <w:top w:val="none" w:sz="0" w:space="0" w:color="auto"/>
                    <w:left w:val="none" w:sz="0" w:space="0" w:color="auto"/>
                    <w:bottom w:val="none" w:sz="0" w:space="0" w:color="auto"/>
                    <w:right w:val="none" w:sz="0" w:space="0" w:color="auto"/>
                  </w:divBdr>
                </w:div>
                <w:div w:id="113344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2884">
      <w:bodyDiv w:val="1"/>
      <w:marLeft w:val="0"/>
      <w:marRight w:val="0"/>
      <w:marTop w:val="0"/>
      <w:marBottom w:val="0"/>
      <w:divBdr>
        <w:top w:val="none" w:sz="0" w:space="0" w:color="auto"/>
        <w:left w:val="none" w:sz="0" w:space="0" w:color="auto"/>
        <w:bottom w:val="none" w:sz="0" w:space="0" w:color="auto"/>
        <w:right w:val="none" w:sz="0" w:space="0" w:color="auto"/>
      </w:divBdr>
    </w:div>
    <w:div w:id="1220705300">
      <w:bodyDiv w:val="1"/>
      <w:marLeft w:val="0"/>
      <w:marRight w:val="0"/>
      <w:marTop w:val="0"/>
      <w:marBottom w:val="0"/>
      <w:divBdr>
        <w:top w:val="none" w:sz="0" w:space="0" w:color="auto"/>
        <w:left w:val="none" w:sz="0" w:space="0" w:color="auto"/>
        <w:bottom w:val="none" w:sz="0" w:space="0" w:color="auto"/>
        <w:right w:val="none" w:sz="0" w:space="0" w:color="auto"/>
      </w:divBdr>
    </w:div>
    <w:div w:id="1220825662">
      <w:bodyDiv w:val="1"/>
      <w:marLeft w:val="0"/>
      <w:marRight w:val="0"/>
      <w:marTop w:val="0"/>
      <w:marBottom w:val="0"/>
      <w:divBdr>
        <w:top w:val="none" w:sz="0" w:space="0" w:color="auto"/>
        <w:left w:val="none" w:sz="0" w:space="0" w:color="auto"/>
        <w:bottom w:val="none" w:sz="0" w:space="0" w:color="auto"/>
        <w:right w:val="none" w:sz="0" w:space="0" w:color="auto"/>
      </w:divBdr>
    </w:div>
    <w:div w:id="1233931092">
      <w:bodyDiv w:val="1"/>
      <w:marLeft w:val="0"/>
      <w:marRight w:val="0"/>
      <w:marTop w:val="0"/>
      <w:marBottom w:val="0"/>
      <w:divBdr>
        <w:top w:val="none" w:sz="0" w:space="0" w:color="auto"/>
        <w:left w:val="none" w:sz="0" w:space="0" w:color="auto"/>
        <w:bottom w:val="none" w:sz="0" w:space="0" w:color="auto"/>
        <w:right w:val="none" w:sz="0" w:space="0" w:color="auto"/>
      </w:divBdr>
    </w:div>
    <w:div w:id="1273591894">
      <w:bodyDiv w:val="1"/>
      <w:marLeft w:val="0"/>
      <w:marRight w:val="0"/>
      <w:marTop w:val="0"/>
      <w:marBottom w:val="0"/>
      <w:divBdr>
        <w:top w:val="none" w:sz="0" w:space="0" w:color="auto"/>
        <w:left w:val="none" w:sz="0" w:space="0" w:color="auto"/>
        <w:bottom w:val="none" w:sz="0" w:space="0" w:color="auto"/>
        <w:right w:val="none" w:sz="0" w:space="0" w:color="auto"/>
      </w:divBdr>
    </w:div>
    <w:div w:id="1331638078">
      <w:bodyDiv w:val="1"/>
      <w:marLeft w:val="0"/>
      <w:marRight w:val="0"/>
      <w:marTop w:val="0"/>
      <w:marBottom w:val="0"/>
      <w:divBdr>
        <w:top w:val="none" w:sz="0" w:space="0" w:color="auto"/>
        <w:left w:val="none" w:sz="0" w:space="0" w:color="auto"/>
        <w:bottom w:val="none" w:sz="0" w:space="0" w:color="auto"/>
        <w:right w:val="none" w:sz="0" w:space="0" w:color="auto"/>
      </w:divBdr>
    </w:div>
    <w:div w:id="1434477700">
      <w:bodyDiv w:val="1"/>
      <w:marLeft w:val="0"/>
      <w:marRight w:val="0"/>
      <w:marTop w:val="0"/>
      <w:marBottom w:val="0"/>
      <w:divBdr>
        <w:top w:val="none" w:sz="0" w:space="0" w:color="auto"/>
        <w:left w:val="none" w:sz="0" w:space="0" w:color="auto"/>
        <w:bottom w:val="none" w:sz="0" w:space="0" w:color="auto"/>
        <w:right w:val="none" w:sz="0" w:space="0" w:color="auto"/>
      </w:divBdr>
    </w:div>
    <w:div w:id="1497767722">
      <w:bodyDiv w:val="1"/>
      <w:marLeft w:val="0"/>
      <w:marRight w:val="0"/>
      <w:marTop w:val="0"/>
      <w:marBottom w:val="0"/>
      <w:divBdr>
        <w:top w:val="none" w:sz="0" w:space="0" w:color="auto"/>
        <w:left w:val="none" w:sz="0" w:space="0" w:color="auto"/>
        <w:bottom w:val="none" w:sz="0" w:space="0" w:color="auto"/>
        <w:right w:val="none" w:sz="0" w:space="0" w:color="auto"/>
      </w:divBdr>
    </w:div>
    <w:div w:id="1796211569">
      <w:bodyDiv w:val="1"/>
      <w:marLeft w:val="0"/>
      <w:marRight w:val="0"/>
      <w:marTop w:val="0"/>
      <w:marBottom w:val="0"/>
      <w:divBdr>
        <w:top w:val="none" w:sz="0" w:space="0" w:color="auto"/>
        <w:left w:val="none" w:sz="0" w:space="0" w:color="auto"/>
        <w:bottom w:val="none" w:sz="0" w:space="0" w:color="auto"/>
        <w:right w:val="none" w:sz="0" w:space="0" w:color="auto"/>
      </w:divBdr>
    </w:div>
    <w:div w:id="1893692028">
      <w:bodyDiv w:val="1"/>
      <w:marLeft w:val="0"/>
      <w:marRight w:val="0"/>
      <w:marTop w:val="0"/>
      <w:marBottom w:val="0"/>
      <w:divBdr>
        <w:top w:val="none" w:sz="0" w:space="0" w:color="auto"/>
        <w:left w:val="none" w:sz="0" w:space="0" w:color="auto"/>
        <w:bottom w:val="none" w:sz="0" w:space="0" w:color="auto"/>
        <w:right w:val="none" w:sz="0" w:space="0" w:color="auto"/>
      </w:divBdr>
    </w:div>
    <w:div w:id="1954903076">
      <w:bodyDiv w:val="1"/>
      <w:marLeft w:val="0"/>
      <w:marRight w:val="0"/>
      <w:marTop w:val="0"/>
      <w:marBottom w:val="0"/>
      <w:divBdr>
        <w:top w:val="none" w:sz="0" w:space="0" w:color="auto"/>
        <w:left w:val="none" w:sz="0" w:space="0" w:color="auto"/>
        <w:bottom w:val="none" w:sz="0" w:space="0" w:color="auto"/>
        <w:right w:val="none" w:sz="0" w:space="0" w:color="auto"/>
      </w:divBdr>
    </w:div>
    <w:div w:id="2077778338">
      <w:bodyDiv w:val="1"/>
      <w:marLeft w:val="0"/>
      <w:marRight w:val="0"/>
      <w:marTop w:val="0"/>
      <w:marBottom w:val="0"/>
      <w:divBdr>
        <w:top w:val="none" w:sz="0" w:space="0" w:color="auto"/>
        <w:left w:val="none" w:sz="0" w:space="0" w:color="auto"/>
        <w:bottom w:val="none" w:sz="0" w:space="0" w:color="auto"/>
        <w:right w:val="none" w:sz="0" w:space="0" w:color="auto"/>
      </w:divBdr>
    </w:div>
    <w:div w:id="209408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14</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National Library of Australia</Company>
  <LinksUpToDate>false</LinksUpToDate>
  <CharactersWithSpaces>22292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jstephen</dc:creator>
  <cp:lastModifiedBy>jstephen</cp:lastModifiedBy>
  <cp:revision>7</cp:revision>
  <cp:lastPrinted>2012-08-23T23:05:00Z</cp:lastPrinted>
  <dcterms:created xsi:type="dcterms:W3CDTF">2012-11-08T00:15:00Z</dcterms:created>
  <dcterms:modified xsi:type="dcterms:W3CDTF">2013-02-05T22:03:00Z</dcterms:modified>
</cp:coreProperties>
</file>