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CD" w:rsidRDefault="009525CD" w:rsidP="009525CD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>EPC Exhibit 138-7.2</w:t>
      </w:r>
    </w:p>
    <w:p w:rsidR="009525CD" w:rsidRDefault="009525CD" w:rsidP="009525CD">
      <w:pPr>
        <w:ind w:left="6840" w:hanging="1800"/>
        <w:jc w:val="right"/>
      </w:pPr>
      <w:r>
        <w:t xml:space="preserve">       </w:t>
      </w:r>
      <w:r w:rsidR="004B263C">
        <w:t>March 20</w:t>
      </w:r>
      <w:r>
        <w:t>, 2015</w:t>
      </w:r>
    </w:p>
    <w:p w:rsidR="009525CD" w:rsidRDefault="009525CD" w:rsidP="009525CD"/>
    <w:p w:rsidR="009525CD" w:rsidRDefault="009525CD" w:rsidP="009525CD">
      <w:pPr>
        <w:tabs>
          <w:tab w:val="center" w:pos="4680"/>
        </w:tabs>
        <w:suppressAutoHyphens/>
      </w:pPr>
      <w:r>
        <w:tab/>
        <w:t>THE LIBRARY OF CONGRESS</w:t>
      </w:r>
    </w:p>
    <w:p w:rsidR="009525CD" w:rsidRDefault="009525CD" w:rsidP="009525CD">
      <w:pPr>
        <w:tabs>
          <w:tab w:val="left" w:pos="0"/>
        </w:tabs>
        <w:suppressAutoHyphens/>
      </w:pPr>
    </w:p>
    <w:p w:rsidR="009525CD" w:rsidRDefault="009525CD" w:rsidP="009525CD">
      <w:pPr>
        <w:tabs>
          <w:tab w:val="center" w:pos="4680"/>
        </w:tabs>
        <w:suppressAutoHyphens/>
      </w:pPr>
      <w:r>
        <w:tab/>
        <w:t>Dewey Section</w:t>
      </w:r>
    </w:p>
    <w:p w:rsidR="009525CD" w:rsidRDefault="009525CD" w:rsidP="009525CD">
      <w:pPr>
        <w:tabs>
          <w:tab w:val="left" w:pos="0"/>
          <w:tab w:val="left" w:pos="1008"/>
          <w:tab w:val="left" w:pos="1440"/>
        </w:tabs>
        <w:suppressAutoHyphens/>
      </w:pP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  <w:r>
        <w:t>To:</w:t>
      </w:r>
      <w:r>
        <w:tab/>
      </w:r>
      <w:r>
        <w:rPr>
          <w:rFonts w:ascii="Times New (W1)" w:hAnsi="Times New (W1)" w:hint="cs"/>
        </w:rPr>
        <w:t>Jonathan Furner</w:t>
      </w:r>
      <w:r>
        <w:t>, Chair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  <w:r>
        <w:tab/>
        <w:t>Decimal Classification Editorial Policy Committee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  <w:ind w:left="1008" w:hanging="1008"/>
      </w:pPr>
      <w:r>
        <w:t>Cc:</w:t>
      </w:r>
      <w:r>
        <w:tab/>
        <w:t>Members of the Decimal Classification Editorial Policy Committee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  <w:r>
        <w:tab/>
        <w:t>Karl E. Debus-López, Chief, U.S. Programs, Law, and Literature Division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  <w:r>
        <w:t> 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  <w:r>
        <w:t>From:</w:t>
      </w:r>
      <w:r>
        <w:tab/>
        <w:t>Michael Panzer, Editor in Chief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  <w:r>
        <w:tab/>
        <w:t>Winton E. Matthews, Consulting Assistant Editor</w:t>
      </w:r>
    </w:p>
    <w:p w:rsidR="009525CD" w:rsidRDefault="009525CD" w:rsidP="009525CD">
      <w:pPr>
        <w:pStyle w:val="Heading3"/>
        <w:tabs>
          <w:tab w:val="left" w:pos="0"/>
          <w:tab w:val="left" w:pos="720"/>
          <w:tab w:val="left" w:pos="1440"/>
        </w:tabs>
        <w:suppressAutoHyphens/>
        <w:spacing w:before="0" w:after="0"/>
        <w:rPr>
          <w:rFonts w:ascii="Times New Roman" w:hAnsi="Times New Roman"/>
          <w:szCs w:val="24"/>
        </w:rPr>
      </w:pPr>
      <w:r>
        <w:tab/>
      </w:r>
      <w:r>
        <w:rPr>
          <w:rFonts w:ascii="Times New Roman" w:hAnsi="Times New Roman"/>
          <w:szCs w:val="24"/>
        </w:rPr>
        <w:t xml:space="preserve">Dewey </w:t>
      </w:r>
      <w:proofErr w:type="gramStart"/>
      <w:r>
        <w:rPr>
          <w:rFonts w:ascii="Times New Roman" w:hAnsi="Times New Roman"/>
          <w:szCs w:val="24"/>
        </w:rPr>
        <w:t>Decimal Classification</w:t>
      </w:r>
      <w:proofErr w:type="gramEnd"/>
    </w:p>
    <w:p w:rsidR="009525CD" w:rsidRDefault="009525CD" w:rsidP="009525CD">
      <w:pPr>
        <w:pStyle w:val="Heading3"/>
        <w:tabs>
          <w:tab w:val="left" w:pos="0"/>
          <w:tab w:val="left" w:pos="720"/>
          <w:tab w:val="left" w:pos="1440"/>
        </w:tabs>
        <w:suppressAutoHyphens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OCLC Online Computer Library Center, Inc</w:t>
      </w:r>
      <w:r>
        <w:rPr>
          <w:rFonts w:ascii="Times New Roman" w:hAnsi="Times New Roman"/>
        </w:rPr>
        <w:t xml:space="preserve">. </w:t>
      </w:r>
    </w:p>
    <w:p w:rsidR="009525CD" w:rsidRDefault="009525CD" w:rsidP="009525CD">
      <w:pPr>
        <w:tabs>
          <w:tab w:val="left" w:pos="0"/>
          <w:tab w:val="left" w:pos="720"/>
          <w:tab w:val="left" w:pos="1440"/>
        </w:tabs>
        <w:suppressAutoHyphens/>
      </w:pPr>
    </w:p>
    <w:p w:rsidR="003C5AE9" w:rsidRDefault="009525CD" w:rsidP="009525CD">
      <w:r>
        <w:t>Re:</w:t>
      </w:r>
      <w:r>
        <w:tab/>
        <w:t xml:space="preserve">Recapitulating the </w:t>
      </w:r>
      <w:r w:rsidR="009E0839">
        <w:t>schedule with index heading</w:t>
      </w:r>
      <w:r w:rsidR="004B263C">
        <w:t>s</w:t>
      </w:r>
    </w:p>
    <w:p w:rsidR="00893C29" w:rsidRDefault="00893C29" w:rsidP="009525CD"/>
    <w:p w:rsidR="00893C29" w:rsidRDefault="00893C29" w:rsidP="009525CD">
      <w:r>
        <w:t>The Editorial Rule</w:t>
      </w:r>
      <w:r w:rsidR="00180A28">
        <w:t xml:space="preserve"> for the Index</w:t>
      </w:r>
      <w:r>
        <w:t xml:space="preserve"> about recapitulation of the schedule is:</w:t>
      </w:r>
    </w:p>
    <w:p w:rsidR="00893C29" w:rsidRDefault="00893C29" w:rsidP="00893C29"/>
    <w:p w:rsidR="00893C29" w:rsidRDefault="00893C29" w:rsidP="00893C29">
      <w:r>
        <w:t xml:space="preserve">4.5 </w:t>
      </w:r>
      <w:r w:rsidRPr="00893C29">
        <w:rPr>
          <w:b/>
          <w:u w:val="single"/>
        </w:rPr>
        <w:t>Recapitulation of the schedule</w:t>
      </w:r>
      <w:r>
        <w:t xml:space="preserve"> </w:t>
      </w:r>
    </w:p>
    <w:p w:rsidR="00893C29" w:rsidRDefault="00893C29" w:rsidP="00893C29"/>
    <w:p w:rsidR="00893C29" w:rsidRPr="00893C29" w:rsidRDefault="00893C29" w:rsidP="00893C29">
      <w:pPr>
        <w:tabs>
          <w:tab w:val="left" w:pos="720"/>
          <w:tab w:val="left" w:pos="1080"/>
          <w:tab w:val="left" w:pos="1440"/>
        </w:tabs>
        <w:rPr>
          <w:b/>
        </w:rPr>
      </w:pPr>
      <w:r>
        <w:rPr>
          <w:b/>
        </w:rPr>
        <w:tab/>
      </w:r>
      <w:r w:rsidRPr="00893C29">
        <w:rPr>
          <w:b/>
        </w:rPr>
        <w:t xml:space="preserve">See also 4.4.1 for adjective + noun phrases that recapitulate the schedule. </w:t>
      </w:r>
    </w:p>
    <w:p w:rsidR="00893C29" w:rsidRDefault="00893C29" w:rsidP="00893C29">
      <w:pPr>
        <w:tabs>
          <w:tab w:val="left" w:pos="720"/>
          <w:tab w:val="left" w:pos="1080"/>
          <w:tab w:val="left" w:pos="1440"/>
        </w:tabs>
      </w:pPr>
    </w:p>
    <w:p w:rsidR="00B86A82" w:rsidRDefault="00B86A82" w:rsidP="00893C29">
      <w:pPr>
        <w:tabs>
          <w:tab w:val="left" w:pos="720"/>
          <w:tab w:val="left" w:pos="1080"/>
          <w:tab w:val="left" w:pos="1440"/>
        </w:tabs>
      </w:pPr>
      <w:r>
        <w:t xml:space="preserve">4.5.1 </w:t>
      </w:r>
      <w:r>
        <w:tab/>
      </w:r>
      <w:r w:rsidR="00893C29">
        <w:t>Terms for subordinate topics are not normally given as subentries of the main topic if (1)</w:t>
      </w:r>
    </w:p>
    <w:p w:rsidR="00893C29" w:rsidRDefault="00893C29" w:rsidP="00B86A82">
      <w:pPr>
        <w:tabs>
          <w:tab w:val="left" w:pos="720"/>
          <w:tab w:val="left" w:pos="1080"/>
          <w:tab w:val="left" w:pos="1440"/>
        </w:tabs>
        <w:ind w:left="720"/>
      </w:pPr>
      <w:proofErr w:type="gramStart"/>
      <w:r>
        <w:t>their</w:t>
      </w:r>
      <w:proofErr w:type="gramEnd"/>
      <w:r>
        <w:t xml:space="preserve"> numbers are subordinate to the number of the main topic or (2) the number of the main topic contains a reference or class-elsewhere note to subordinate topics in adjacent or nearby numbers.</w:t>
      </w:r>
    </w:p>
    <w:p w:rsidR="003E000A" w:rsidRDefault="003E000A" w:rsidP="003E000A"/>
    <w:p w:rsidR="003E000A" w:rsidRDefault="003E000A" w:rsidP="003E000A">
      <w:r>
        <w:t>In the schedules, a standard subdivision or a historical period is given after a topic, e.g., serials about birds 598.05 (Birds 598 + Serials T1—05).  The corresponding index entry is “T</w:t>
      </w:r>
      <w:r w:rsidR="009E0839">
        <w:t xml:space="preserve">opic – Standard subdivision”, e.g., </w:t>
      </w:r>
      <w:r>
        <w:t>Birds – serials.  Thus, the index entry recapitulates the schedule.</w:t>
      </w:r>
    </w:p>
    <w:p w:rsidR="00180A28" w:rsidRDefault="00180A28" w:rsidP="00180A28"/>
    <w:p w:rsidR="00180A28" w:rsidRDefault="00180A28" w:rsidP="00180A28">
      <w:r>
        <w:t>Recently, Winton has been editorially mapping LCSH headings</w:t>
      </w:r>
      <w:r w:rsidR="009E0839">
        <w:t xml:space="preserve"> from</w:t>
      </w:r>
      <w:r>
        <w:t xml:space="preserve"> </w:t>
      </w:r>
      <w:r w:rsidR="009E0839">
        <w:rPr>
          <w:i/>
        </w:rPr>
        <w:t>People, Places, and Things</w:t>
      </w:r>
      <w:r w:rsidR="009E0839">
        <w:t xml:space="preserve">, especially </w:t>
      </w:r>
      <w:r>
        <w:t>in the 900s</w:t>
      </w:r>
      <w:r w:rsidR="007E5AA1">
        <w:t xml:space="preserve"> and related schedules</w:t>
      </w:r>
      <w:r>
        <w:t xml:space="preserve">.  </w:t>
      </w:r>
      <w:r w:rsidR="00194A27">
        <w:t>The editorially mapped LCSH is indicated by “$9 </w:t>
      </w:r>
      <w:proofErr w:type="spellStart"/>
      <w:r w:rsidR="00194A27">
        <w:t>ms</w:t>
      </w:r>
      <w:proofErr w:type="spellEnd"/>
      <w:r w:rsidR="00194A27">
        <w:t xml:space="preserve">=EM”. </w:t>
      </w:r>
      <w:r>
        <w:t>If the schedule entry associated with the LCSH does not have a DDC index heading</w:t>
      </w:r>
      <w:r w:rsidR="00194A27">
        <w:t xml:space="preserve"> (</w:t>
      </w:r>
      <w:proofErr w:type="spellStart"/>
      <w:r w:rsidR="00194A27">
        <w:t>ddcri</w:t>
      </w:r>
      <w:proofErr w:type="spellEnd"/>
      <w:r>
        <w:t xml:space="preserve">), a </w:t>
      </w:r>
      <w:proofErr w:type="spellStart"/>
      <w:r w:rsidR="00194A27">
        <w:t>ddcri</w:t>
      </w:r>
      <w:proofErr w:type="spellEnd"/>
      <w:r>
        <w:t xml:space="preserve"> for that entry has to be created.  </w:t>
      </w:r>
      <w:r w:rsidR="00194A27">
        <w:t>M</w:t>
      </w:r>
      <w:r>
        <w:t xml:space="preserve">any of those </w:t>
      </w:r>
      <w:proofErr w:type="spellStart"/>
      <w:r w:rsidR="009E0839">
        <w:t>ddcri’</w:t>
      </w:r>
      <w:r>
        <w:t>s</w:t>
      </w:r>
      <w:proofErr w:type="spellEnd"/>
      <w:r>
        <w:t xml:space="preserve"> involve either a standard subdivision or a history period.  </w:t>
      </w:r>
      <w:r w:rsidR="00194A27">
        <w:t>For example:</w:t>
      </w:r>
    </w:p>
    <w:p w:rsidR="00194A27" w:rsidRDefault="00194A27" w:rsidP="00194A27">
      <w:pPr>
        <w:ind w:firstLine="720"/>
      </w:pPr>
      <w:r>
        <w:t>910.835 (T1—0835 is used to build this number)</w:t>
      </w:r>
    </w:p>
    <w:p w:rsidR="00194A27" w:rsidRDefault="00194A27" w:rsidP="00194A27">
      <w:pPr>
        <w:ind w:firstLine="720"/>
      </w:pPr>
      <w:r>
        <w:t>Teenage travel programs $9 </w:t>
      </w:r>
      <w:proofErr w:type="spellStart"/>
      <w:r>
        <w:t>ms</w:t>
      </w:r>
      <w:proofErr w:type="spellEnd"/>
      <w:r>
        <w:t xml:space="preserve">=EM </w:t>
      </w:r>
      <w:r>
        <w:tab/>
        <w:t>​</w:t>
      </w:r>
    </w:p>
    <w:p w:rsidR="00194A27" w:rsidRDefault="00194A27" w:rsidP="00194A27">
      <w:pPr>
        <w:ind w:firstLine="720"/>
      </w:pPr>
      <w:r>
        <w:t>Travel $x adolescents $2 </w:t>
      </w:r>
      <w:proofErr w:type="spellStart"/>
      <w:r>
        <w:t>ddcri</w:t>
      </w:r>
      <w:proofErr w:type="spellEnd"/>
      <w:r>
        <w:tab/>
        <w:t>​</w:t>
      </w:r>
    </w:p>
    <w:p w:rsidR="00194A27" w:rsidRDefault="00194A27" w:rsidP="00194A27">
      <w:pPr>
        <w:ind w:firstLine="720"/>
      </w:pPr>
      <w:r>
        <w:t>Youth $x Travel $9 </w:t>
      </w:r>
      <w:proofErr w:type="spellStart"/>
      <w:r>
        <w:t>ms</w:t>
      </w:r>
      <w:proofErr w:type="spellEnd"/>
      <w:r>
        <w:t>=EM</w:t>
      </w:r>
    </w:p>
    <w:p w:rsidR="009E0839" w:rsidRDefault="009E0839">
      <w:pPr>
        <w:spacing w:after="200" w:line="276" w:lineRule="auto"/>
      </w:pPr>
      <w:r>
        <w:br w:type="page"/>
      </w:r>
    </w:p>
    <w:p w:rsidR="007E5AA1" w:rsidRDefault="007E5AA1" w:rsidP="00194A27">
      <w:pPr>
        <w:ind w:firstLine="720"/>
      </w:pPr>
    </w:p>
    <w:p w:rsidR="007E5AA1" w:rsidRDefault="007E5AA1" w:rsidP="007E5AA1">
      <w:pPr>
        <w:ind w:firstLine="720"/>
      </w:pPr>
      <w:r>
        <w:t xml:space="preserve">330.9730916 (Both T2—73 and </w:t>
      </w:r>
      <w:r w:rsidR="00E70B55">
        <w:t>T1—</w:t>
      </w:r>
      <w:r>
        <w:t>0916 are used to build this number)</w:t>
      </w:r>
    </w:p>
    <w:p w:rsidR="007E5AA1" w:rsidRDefault="007E5AA1" w:rsidP="007E5AA1">
      <w:pPr>
        <w:ind w:firstLine="720"/>
      </w:pPr>
      <w:r>
        <w:t>Depressions $y 1929 $z United States $9 </w:t>
      </w:r>
      <w:proofErr w:type="spellStart"/>
      <w:r>
        <w:t>ms</w:t>
      </w:r>
      <w:proofErr w:type="spellEnd"/>
      <w:r>
        <w:t xml:space="preserve">=EM </w:t>
      </w:r>
      <w:r>
        <w:tab/>
        <w:t>​</w:t>
      </w:r>
    </w:p>
    <w:p w:rsidR="007E5AA1" w:rsidRDefault="007E5AA1" w:rsidP="007E5AA1">
      <w:pPr>
        <w:ind w:firstLine="720"/>
      </w:pPr>
      <w:r>
        <w:t>Economic conditions $z United States $y 1920-1929 $2 </w:t>
      </w:r>
      <w:proofErr w:type="spellStart"/>
      <w:r>
        <w:t>ddcri</w:t>
      </w:r>
      <w:proofErr w:type="spellEnd"/>
    </w:p>
    <w:p w:rsidR="00B86A82" w:rsidRDefault="003E000A" w:rsidP="00B86A82">
      <w:pPr>
        <w:tabs>
          <w:tab w:val="left" w:pos="720"/>
          <w:tab w:val="left" w:pos="1080"/>
          <w:tab w:val="left" w:pos="1440"/>
        </w:tabs>
      </w:pPr>
      <w:r>
        <w:t xml:space="preserve">As both examples demonstrate, the </w:t>
      </w:r>
      <w:proofErr w:type="spellStart"/>
      <w:r>
        <w:t>ddcri’s</w:t>
      </w:r>
      <w:proofErr w:type="spellEnd"/>
      <w:r>
        <w:t xml:space="preserve"> are constructed in the same manner as the built schedule number. </w:t>
      </w:r>
      <w:r w:rsidR="00F73347">
        <w:t xml:space="preserve"> Thus, the </w:t>
      </w:r>
      <w:proofErr w:type="spellStart"/>
      <w:r w:rsidR="00F73347">
        <w:t>ddcri’s</w:t>
      </w:r>
      <w:proofErr w:type="spellEnd"/>
      <w:r w:rsidR="00F73347">
        <w:t xml:space="preserve"> recapitulate</w:t>
      </w:r>
      <w:r>
        <w:t xml:space="preserve"> the schedule.</w:t>
      </w:r>
    </w:p>
    <w:p w:rsidR="003E000A" w:rsidRDefault="003E000A" w:rsidP="00B86A82">
      <w:pPr>
        <w:tabs>
          <w:tab w:val="left" w:pos="720"/>
          <w:tab w:val="left" w:pos="1080"/>
          <w:tab w:val="left" w:pos="1440"/>
        </w:tabs>
      </w:pPr>
    </w:p>
    <w:p w:rsidR="00B86A82" w:rsidRDefault="00B86A82" w:rsidP="00B86A82">
      <w:pPr>
        <w:tabs>
          <w:tab w:val="left" w:pos="720"/>
          <w:tab w:val="left" w:pos="1080"/>
          <w:tab w:val="left" w:pos="1440"/>
        </w:tabs>
      </w:pPr>
      <w:r>
        <w:t>The problem is that the (1) clause</w:t>
      </w:r>
      <w:r w:rsidR="003E000A">
        <w:t xml:space="preserve"> in the rule indicate</w:t>
      </w:r>
      <w:r>
        <w:t>s that since a standard subdivision</w:t>
      </w:r>
      <w:r w:rsidR="003E000A">
        <w:t xml:space="preserve"> or historical period</w:t>
      </w:r>
      <w:r>
        <w:t xml:space="preserve"> is subordinate to the number of the main topic, the index entry should not recapitulate the schedule.  We propose adding the following rule</w:t>
      </w:r>
      <w:r w:rsidR="003E000A">
        <w:t>s</w:t>
      </w:r>
      <w:r>
        <w:t xml:space="preserve"> allowing the recapitulati</w:t>
      </w:r>
      <w:r w:rsidR="003E000A">
        <w:t>on of the schedule for standard-</w:t>
      </w:r>
      <w:r>
        <w:t>subdivision</w:t>
      </w:r>
      <w:r w:rsidR="003E000A">
        <w:t xml:space="preserve"> and historical-period</w:t>
      </w:r>
      <w:r>
        <w:t xml:space="preserve"> index entries.  (Note: Exceptions given in rules 4.5.1.1 and 4.5.1.2 do not apply to standard subdivisions.)</w:t>
      </w:r>
    </w:p>
    <w:p w:rsidR="00B86A82" w:rsidRDefault="00B86A82" w:rsidP="00B86A82">
      <w:pPr>
        <w:tabs>
          <w:tab w:val="left" w:pos="720"/>
          <w:tab w:val="left" w:pos="1080"/>
          <w:tab w:val="left" w:pos="1440"/>
        </w:tabs>
      </w:pPr>
    </w:p>
    <w:p w:rsidR="00E70B55" w:rsidRDefault="00E70B55" w:rsidP="00E70B55">
      <w:pPr>
        <w:tabs>
          <w:tab w:val="left" w:pos="1080"/>
          <w:tab w:val="left" w:pos="1440"/>
        </w:tabs>
      </w:pPr>
      <w:r>
        <w:t>4.5.1.3</w:t>
      </w:r>
      <w:r>
        <w:tab/>
        <w:t>T</w:t>
      </w:r>
      <w:r w:rsidR="00B86A82">
        <w:t>he format of index entries involving standard subdivisions</w:t>
      </w:r>
      <w:r>
        <w:t xml:space="preserve"> </w:t>
      </w:r>
      <w:r w:rsidR="00E1310A">
        <w:t>(Topic</w:t>
      </w:r>
      <w:r w:rsidR="004B263C">
        <w:t xml:space="preserve"> – </w:t>
      </w:r>
      <w:r w:rsidR="00E1310A">
        <w:t>s</w:t>
      </w:r>
      <w:r>
        <w:t>tandard</w:t>
      </w:r>
    </w:p>
    <w:p w:rsidR="00B86A82" w:rsidRDefault="00E70B55" w:rsidP="00E70B55">
      <w:pPr>
        <w:tabs>
          <w:tab w:val="left" w:pos="1080"/>
          <w:tab w:val="left" w:pos="1440"/>
        </w:tabs>
      </w:pPr>
      <w:r>
        <w:tab/>
      </w:r>
      <w:proofErr w:type="gramStart"/>
      <w:r w:rsidR="003E000A">
        <w:t>s</w:t>
      </w:r>
      <w:r w:rsidR="00B86A82">
        <w:t>ubdivision</w:t>
      </w:r>
      <w:proofErr w:type="gramEnd"/>
      <w:r w:rsidR="00B86A82">
        <w:t xml:space="preserve">) </w:t>
      </w:r>
      <w:r w:rsidR="00E96F56">
        <w:t>recapitulates the schedule.</w:t>
      </w:r>
    </w:p>
    <w:p w:rsidR="00E96F56" w:rsidRDefault="00E96F56" w:rsidP="00E96F56">
      <w:pPr>
        <w:pStyle w:val="NormalWeb"/>
        <w:tabs>
          <w:tab w:val="left" w:pos="1080"/>
          <w:tab w:val="left" w:pos="1440"/>
        </w:tabs>
        <w:spacing w:before="0" w:beforeAutospacing="0" w:after="0" w:afterAutospacing="0"/>
      </w:pPr>
    </w:p>
    <w:p w:rsidR="00E96F56" w:rsidRDefault="00E96F56" w:rsidP="00E96F56">
      <w:pPr>
        <w:pStyle w:val="NormalWeb"/>
        <w:tabs>
          <w:tab w:val="left" w:pos="1080"/>
          <w:tab w:val="left" w:pos="1440"/>
        </w:tabs>
        <w:spacing w:before="0" w:beforeAutospacing="0" w:after="0" w:afterAutospacing="0"/>
      </w:pPr>
      <w:r>
        <w:tab/>
      </w:r>
      <w:r w:rsidR="00E1310A">
        <w:tab/>
        <w:t xml:space="preserve">Schedule: </w:t>
      </w:r>
      <w:r w:rsidR="00E1310A">
        <w:tab/>
      </w:r>
      <w:r>
        <w:t>598</w:t>
      </w:r>
      <w:r>
        <w:tab/>
      </w:r>
      <w:r w:rsidR="004B263C">
        <w:tab/>
      </w:r>
      <w:r>
        <w:t>Birds</w:t>
      </w:r>
    </w:p>
    <w:p w:rsidR="00E96F56" w:rsidRDefault="00E96F56" w:rsidP="004B263C">
      <w:pPr>
        <w:pStyle w:val="NormalWeb"/>
        <w:tabs>
          <w:tab w:val="left" w:pos="1080"/>
          <w:tab w:val="left" w:pos="1440"/>
          <w:tab w:val="left" w:pos="2880"/>
          <w:tab w:val="left" w:pos="4680"/>
        </w:tabs>
        <w:spacing w:before="0" w:beforeAutospacing="0" w:after="0" w:afterAutospacing="0"/>
      </w:pPr>
      <w:r>
        <w:tab/>
      </w:r>
      <w:r>
        <w:tab/>
      </w:r>
      <w:r w:rsidR="004B3C4C">
        <w:tab/>
        <w:t>598.05</w:t>
      </w:r>
      <w:r w:rsidR="004B3C4C">
        <w:tab/>
      </w:r>
      <w:r>
        <w:t xml:space="preserve">Serial publications </w:t>
      </w:r>
    </w:p>
    <w:p w:rsidR="00E96F56" w:rsidRDefault="00E96F56" w:rsidP="00E96F56">
      <w:pPr>
        <w:pStyle w:val="NormalWeb"/>
        <w:tabs>
          <w:tab w:val="left" w:pos="1080"/>
          <w:tab w:val="left" w:pos="1440"/>
        </w:tabs>
        <w:spacing w:before="0" w:beforeAutospacing="0" w:after="0" w:afterAutospacing="0"/>
      </w:pPr>
    </w:p>
    <w:p w:rsidR="00E96F56" w:rsidRDefault="00E96F56" w:rsidP="004B263C">
      <w:pPr>
        <w:pStyle w:val="NormalWeb"/>
        <w:tabs>
          <w:tab w:val="left" w:pos="1080"/>
          <w:tab w:val="left" w:pos="1440"/>
          <w:tab w:val="left" w:pos="2520"/>
          <w:tab w:val="left" w:pos="2880"/>
        </w:tabs>
        <w:spacing w:before="0" w:beforeAutospacing="0" w:after="0" w:afterAutospacing="0"/>
      </w:pPr>
      <w:r>
        <w:tab/>
      </w:r>
      <w:r w:rsidR="00E1310A">
        <w:tab/>
      </w:r>
      <w:r>
        <w:t xml:space="preserve">Index: </w:t>
      </w:r>
      <w:r>
        <w:tab/>
        <w:t>Birds</w:t>
      </w:r>
      <w:r>
        <w:tab/>
      </w:r>
      <w:r>
        <w:tab/>
      </w:r>
      <w:r w:rsidR="004B263C">
        <w:tab/>
      </w:r>
      <w:r>
        <w:t>598</w:t>
      </w:r>
    </w:p>
    <w:p w:rsidR="00E96F56" w:rsidRDefault="00E96F56" w:rsidP="00E96F56">
      <w:pPr>
        <w:pStyle w:val="NormalWeb"/>
        <w:tabs>
          <w:tab w:val="left" w:pos="1080"/>
          <w:tab w:val="left" w:pos="1440"/>
          <w:tab w:val="left" w:pos="1800"/>
          <w:tab w:val="left" w:pos="2520"/>
        </w:tabs>
        <w:spacing w:before="0" w:beforeAutospacing="0" w:after="0" w:afterAutospacing="0"/>
        <w:ind w:left="720"/>
      </w:pPr>
      <w:r>
        <w:tab/>
      </w:r>
      <w:r>
        <w:tab/>
      </w:r>
      <w:r>
        <w:tab/>
      </w:r>
      <w:r>
        <w:tab/>
      </w:r>
      <w:r w:rsidR="004B263C">
        <w:tab/>
      </w:r>
      <w:proofErr w:type="gramStart"/>
      <w:r>
        <w:t>serials</w:t>
      </w:r>
      <w:proofErr w:type="gramEnd"/>
      <w:r>
        <w:tab/>
      </w:r>
      <w:r w:rsidR="004B263C">
        <w:tab/>
      </w:r>
      <w:r w:rsidR="004B263C">
        <w:tab/>
      </w:r>
      <w:r>
        <w:t>598.05</w:t>
      </w:r>
    </w:p>
    <w:p w:rsidR="00E1310A" w:rsidRDefault="00E1310A" w:rsidP="00E1310A">
      <w:pPr>
        <w:tabs>
          <w:tab w:val="left" w:pos="720"/>
          <w:tab w:val="left" w:pos="1080"/>
          <w:tab w:val="left" w:pos="1440"/>
        </w:tabs>
      </w:pPr>
    </w:p>
    <w:p w:rsidR="00E70B55" w:rsidRDefault="004B263C" w:rsidP="00E70B55">
      <w:pPr>
        <w:tabs>
          <w:tab w:val="left" w:pos="1080"/>
          <w:tab w:val="left" w:pos="1440"/>
        </w:tabs>
      </w:pPr>
      <w:r>
        <w:t>4.5.1.4</w:t>
      </w:r>
      <w:bookmarkStart w:id="0" w:name="_GoBack"/>
      <w:bookmarkEnd w:id="0"/>
      <w:r w:rsidR="00E1310A">
        <w:tab/>
      </w:r>
      <w:r w:rsidR="00E70B55">
        <w:t>T</w:t>
      </w:r>
      <w:r w:rsidR="00E1310A">
        <w:t>he format of index entries involving historical periods</w:t>
      </w:r>
      <w:r w:rsidR="00E70B55">
        <w:t xml:space="preserve"> </w:t>
      </w:r>
      <w:r w:rsidR="00E1310A">
        <w:t>(Topic</w:t>
      </w:r>
      <w:r>
        <w:t xml:space="preserve"> – </w:t>
      </w:r>
      <w:r w:rsidR="00E1310A">
        <w:t>historical period</w:t>
      </w:r>
      <w:r w:rsidR="00E70B55">
        <w:t>)</w:t>
      </w:r>
    </w:p>
    <w:p w:rsidR="00E1310A" w:rsidRDefault="00E70B55" w:rsidP="00E70B55">
      <w:pPr>
        <w:tabs>
          <w:tab w:val="left" w:pos="1080"/>
          <w:tab w:val="left" w:pos="1440"/>
        </w:tabs>
      </w:pPr>
      <w:r>
        <w:tab/>
      </w:r>
      <w:proofErr w:type="gramStart"/>
      <w:r w:rsidR="00E1310A">
        <w:t>recapitulates</w:t>
      </w:r>
      <w:proofErr w:type="gramEnd"/>
      <w:r w:rsidR="00E1310A">
        <w:t xml:space="preserve"> the schedule.</w:t>
      </w:r>
    </w:p>
    <w:p w:rsidR="00E1310A" w:rsidRDefault="00E1310A" w:rsidP="00E1310A">
      <w:pPr>
        <w:pStyle w:val="NormalWeb"/>
        <w:tabs>
          <w:tab w:val="left" w:pos="1080"/>
          <w:tab w:val="left" w:pos="1440"/>
        </w:tabs>
        <w:spacing w:before="0" w:beforeAutospacing="0" w:after="0" w:afterAutospacing="0"/>
      </w:pPr>
    </w:p>
    <w:p w:rsidR="00E96F56" w:rsidRDefault="00E1310A" w:rsidP="00E1310A">
      <w:pPr>
        <w:tabs>
          <w:tab w:val="left" w:pos="1080"/>
          <w:tab w:val="left" w:pos="1440"/>
        </w:tabs>
      </w:pPr>
      <w:r>
        <w:tab/>
      </w:r>
      <w:r>
        <w:tab/>
        <w:t>Schedule:</w:t>
      </w:r>
      <w:r w:rsidRPr="00E1310A">
        <w:t xml:space="preserve"> </w:t>
      </w:r>
      <w:r>
        <w:tab/>
        <w:t>973.41 </w:t>
      </w:r>
      <w:r>
        <w:tab/>
      </w:r>
      <w:r>
        <w:tab/>
      </w:r>
      <w:r w:rsidRPr="00E1310A">
        <w:t>Administration of George Washington, 1789-1797</w:t>
      </w:r>
    </w:p>
    <w:p w:rsidR="00E1310A" w:rsidRDefault="00E1310A" w:rsidP="00E1310A">
      <w:pPr>
        <w:tabs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  <w:t>973.43</w:t>
      </w:r>
      <w:r>
        <w:tab/>
      </w:r>
      <w:r>
        <w:tab/>
      </w:r>
      <w:r w:rsidRPr="00E1310A">
        <w:t xml:space="preserve">Second term </w:t>
      </w:r>
      <w:r>
        <w:t>of the administration of George</w:t>
      </w:r>
    </w:p>
    <w:p w:rsidR="00E1310A" w:rsidRDefault="00E1310A" w:rsidP="00E1310A">
      <w:pPr>
        <w:tabs>
          <w:tab w:val="left" w:pos="108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10A">
        <w:t>Washington, 1793-1797</w:t>
      </w:r>
    </w:p>
    <w:p w:rsidR="00E1310A" w:rsidRDefault="00E1310A" w:rsidP="00E1310A">
      <w:pPr>
        <w:tabs>
          <w:tab w:val="left" w:pos="1080"/>
          <w:tab w:val="left" w:pos="1440"/>
        </w:tabs>
      </w:pPr>
    </w:p>
    <w:p w:rsidR="00E1310A" w:rsidRDefault="00E1310A" w:rsidP="00E70B55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</w:pPr>
      <w:r>
        <w:tab/>
      </w:r>
      <w:r>
        <w:tab/>
      </w:r>
      <w:r w:rsidR="00E70B55">
        <w:t>Index:</w:t>
      </w:r>
      <w:r w:rsidR="00E70B55">
        <w:tab/>
      </w:r>
      <w:r w:rsidR="00E70B55">
        <w:tab/>
      </w:r>
      <w:r>
        <w:t>Washington, George</w:t>
      </w:r>
    </w:p>
    <w:p w:rsidR="00E1310A" w:rsidRDefault="00E1310A" w:rsidP="00E70B55">
      <w:pPr>
        <w:tabs>
          <w:tab w:val="left" w:pos="1080"/>
          <w:tab w:val="left" w:pos="1440"/>
          <w:tab w:val="left" w:pos="2520"/>
          <w:tab w:val="left" w:pos="2880"/>
          <w:tab w:val="left" w:pos="3240"/>
        </w:tabs>
      </w:pPr>
      <w:r>
        <w:tab/>
      </w:r>
      <w:r>
        <w:tab/>
      </w:r>
      <w:r>
        <w:tab/>
      </w:r>
      <w:r w:rsidR="00E70B55">
        <w:tab/>
      </w:r>
      <w:r>
        <w:t>United States history </w:t>
      </w:r>
      <w:r>
        <w:tab/>
        <w:t xml:space="preserve">973.41 </w:t>
      </w:r>
      <w:r>
        <w:tab/>
        <w:t>​</w:t>
      </w:r>
    </w:p>
    <w:p w:rsidR="00E1310A" w:rsidRDefault="00E1310A" w:rsidP="00E70B55">
      <w:pPr>
        <w:tabs>
          <w:tab w:val="left" w:pos="1080"/>
          <w:tab w:val="left" w:pos="1440"/>
          <w:tab w:val="left" w:pos="2880"/>
          <w:tab w:val="left" w:pos="3240"/>
        </w:tabs>
      </w:pPr>
      <w:r>
        <w:tab/>
      </w:r>
      <w:r>
        <w:tab/>
      </w:r>
      <w:r>
        <w:tab/>
      </w:r>
      <w:r>
        <w:tab/>
        <w:t>1789-1793 </w:t>
      </w:r>
      <w:r>
        <w:tab/>
        <w:t>973.41</w:t>
      </w:r>
    </w:p>
    <w:p w:rsidR="00E1310A" w:rsidRDefault="00E1310A" w:rsidP="00E70B55">
      <w:pPr>
        <w:tabs>
          <w:tab w:val="left" w:pos="1080"/>
          <w:tab w:val="left" w:pos="1440"/>
          <w:tab w:val="left" w:pos="2880"/>
          <w:tab w:val="left" w:pos="3240"/>
        </w:tabs>
      </w:pPr>
      <w:r>
        <w:tab/>
      </w:r>
      <w:r>
        <w:tab/>
      </w:r>
      <w:r>
        <w:tab/>
      </w:r>
      <w:r w:rsidR="00E70B55">
        <w:tab/>
      </w:r>
      <w:r>
        <w:t>1793-1797 </w:t>
      </w:r>
      <w:r>
        <w:tab/>
        <w:t>973.43</w:t>
      </w:r>
    </w:p>
    <w:p w:rsidR="004B3C4C" w:rsidRDefault="004B3C4C" w:rsidP="00E1310A">
      <w:pPr>
        <w:tabs>
          <w:tab w:val="left" w:pos="1080"/>
          <w:tab w:val="left" w:pos="1440"/>
          <w:tab w:val="left" w:pos="2520"/>
          <w:tab w:val="left" w:pos="2880"/>
        </w:tabs>
      </w:pPr>
    </w:p>
    <w:p w:rsidR="004B3C4C" w:rsidRDefault="004B3C4C" w:rsidP="004B3C4C">
      <w:pPr>
        <w:tabs>
          <w:tab w:val="left" w:pos="1080"/>
          <w:tab w:val="left" w:pos="1440"/>
          <w:tab w:val="left" w:pos="2520"/>
          <w:tab w:val="left" w:pos="2880"/>
          <w:tab w:val="left" w:pos="3600"/>
          <w:tab w:val="left" w:pos="3960"/>
          <w:tab w:val="left" w:pos="4320"/>
        </w:tabs>
      </w:pPr>
      <w:r>
        <w:tab/>
      </w:r>
      <w:r>
        <w:tab/>
        <w:t>Schedule:</w:t>
      </w:r>
      <w:r>
        <w:tab/>
      </w:r>
      <w:r>
        <w:tab/>
        <w:t>330.9</w:t>
      </w:r>
      <w:r>
        <w:tab/>
      </w:r>
      <w:r>
        <w:tab/>
      </w:r>
      <w:r>
        <w:tab/>
        <w:t>Economic situation and conditions</w:t>
      </w:r>
    </w:p>
    <w:p w:rsidR="004B3C4C" w:rsidRDefault="004B3C4C" w:rsidP="004B3C4C">
      <w:pPr>
        <w:tabs>
          <w:tab w:val="left" w:pos="1080"/>
          <w:tab w:val="left" w:pos="144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</w:tabs>
      </w:pPr>
      <w:r>
        <w:tab/>
      </w:r>
      <w:r>
        <w:tab/>
      </w:r>
      <w:r>
        <w:tab/>
      </w:r>
      <w:r>
        <w:tab/>
        <w:t>330.973</w:t>
      </w:r>
      <w:r>
        <w:tab/>
      </w:r>
      <w:r>
        <w:tab/>
      </w:r>
      <w:r>
        <w:tab/>
        <w:t>United States</w:t>
      </w:r>
    </w:p>
    <w:p w:rsidR="00E70B55" w:rsidRDefault="004B3C4C" w:rsidP="004B3C4C">
      <w:pPr>
        <w:tabs>
          <w:tab w:val="left" w:pos="1080"/>
          <w:tab w:val="left" w:pos="144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</w:tabs>
      </w:pPr>
      <w:r>
        <w:tab/>
      </w:r>
      <w:r w:rsidR="00E70B55">
        <w:tab/>
      </w:r>
      <w:r w:rsidR="00E70B55">
        <w:tab/>
      </w:r>
      <w:r w:rsidR="00E70B55">
        <w:tab/>
        <w:t>330.9730916</w:t>
      </w:r>
      <w:r w:rsidR="00E70B55">
        <w:tab/>
      </w:r>
      <w:r w:rsidR="00E70B55">
        <w:tab/>
      </w:r>
      <w:r w:rsidR="00E70B55">
        <w:tab/>
        <w:t>1920-1929</w:t>
      </w:r>
    </w:p>
    <w:p w:rsidR="00E70B55" w:rsidRDefault="00E70B55" w:rsidP="004B3C4C">
      <w:pPr>
        <w:tabs>
          <w:tab w:val="left" w:pos="1080"/>
          <w:tab w:val="left" w:pos="144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</w:tabs>
      </w:pPr>
    </w:p>
    <w:p w:rsidR="00E70B55" w:rsidRDefault="00E70B55" w:rsidP="004B3C4C">
      <w:pPr>
        <w:tabs>
          <w:tab w:val="left" w:pos="1080"/>
          <w:tab w:val="left" w:pos="144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</w:tabs>
      </w:pPr>
      <w:r>
        <w:tab/>
      </w:r>
      <w:r>
        <w:tab/>
        <w:t>Index:</w:t>
      </w:r>
      <w:r>
        <w:tab/>
        <w:t>Economic conditions</w:t>
      </w:r>
      <w:r>
        <w:tab/>
      </w:r>
      <w:r>
        <w:tab/>
        <w:t>330.9</w:t>
      </w:r>
    </w:p>
    <w:p w:rsidR="00E70B55" w:rsidRDefault="00E70B55" w:rsidP="004B3C4C">
      <w:pPr>
        <w:tabs>
          <w:tab w:val="left" w:pos="1080"/>
          <w:tab w:val="left" w:pos="1440"/>
          <w:tab w:val="left" w:pos="2520"/>
          <w:tab w:val="left" w:pos="2880"/>
          <w:tab w:val="left" w:pos="3960"/>
          <w:tab w:val="left" w:pos="4320"/>
          <w:tab w:val="left" w:pos="4680"/>
          <w:tab w:val="left" w:pos="5040"/>
        </w:tabs>
      </w:pPr>
      <w:r>
        <w:tab/>
      </w:r>
      <w:r>
        <w:tab/>
      </w:r>
      <w:r>
        <w:tab/>
      </w:r>
      <w:r>
        <w:tab/>
        <w:t>United States</w:t>
      </w:r>
      <w:r>
        <w:tab/>
      </w:r>
      <w:r>
        <w:tab/>
      </w:r>
      <w:r>
        <w:tab/>
        <w:t>330.973</w:t>
      </w:r>
    </w:p>
    <w:p w:rsidR="004B3C4C" w:rsidRDefault="00E70B55" w:rsidP="00E70B55">
      <w:pPr>
        <w:tabs>
          <w:tab w:val="left" w:pos="1080"/>
          <w:tab w:val="left" w:pos="144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</w:tabs>
      </w:pPr>
      <w:r>
        <w:tab/>
      </w:r>
      <w:r>
        <w:tab/>
      </w:r>
      <w:r>
        <w:tab/>
      </w:r>
      <w:r>
        <w:tab/>
      </w:r>
      <w:r>
        <w:tab/>
        <w:t>1920-1929</w:t>
      </w:r>
      <w:r>
        <w:tab/>
      </w:r>
      <w:r>
        <w:tab/>
      </w:r>
      <w:r>
        <w:tab/>
        <w:t>330.973 091 6</w:t>
      </w:r>
    </w:p>
    <w:p w:rsidR="00E1310A" w:rsidRDefault="00E1310A" w:rsidP="00E1310A">
      <w:pPr>
        <w:tabs>
          <w:tab w:val="left" w:pos="1080"/>
          <w:tab w:val="left" w:pos="1440"/>
          <w:tab w:val="left" w:pos="2520"/>
          <w:tab w:val="left" w:pos="2880"/>
        </w:tabs>
      </w:pPr>
    </w:p>
    <w:sectPr w:rsidR="00E1310A" w:rsidSect="003C5A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0A" w:rsidRDefault="003E000A" w:rsidP="003E000A">
      <w:r>
        <w:separator/>
      </w:r>
    </w:p>
  </w:endnote>
  <w:endnote w:type="continuationSeparator" w:id="0">
    <w:p w:rsidR="003E000A" w:rsidRDefault="003E000A" w:rsidP="003E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52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00A" w:rsidRDefault="003E0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00A" w:rsidRDefault="003E0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0A" w:rsidRDefault="003E000A" w:rsidP="003E000A">
      <w:r>
        <w:separator/>
      </w:r>
    </w:p>
  </w:footnote>
  <w:footnote w:type="continuationSeparator" w:id="0">
    <w:p w:rsidR="003E000A" w:rsidRDefault="003E000A" w:rsidP="003E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D"/>
    <w:rsid w:val="00014AB4"/>
    <w:rsid w:val="00180A28"/>
    <w:rsid w:val="00194A27"/>
    <w:rsid w:val="003C5AE9"/>
    <w:rsid w:val="003E000A"/>
    <w:rsid w:val="004B263C"/>
    <w:rsid w:val="004B3C4C"/>
    <w:rsid w:val="007E5AA1"/>
    <w:rsid w:val="00893C29"/>
    <w:rsid w:val="009525CD"/>
    <w:rsid w:val="009E0839"/>
    <w:rsid w:val="00A45216"/>
    <w:rsid w:val="00B86A82"/>
    <w:rsid w:val="00D4466D"/>
    <w:rsid w:val="00E1310A"/>
    <w:rsid w:val="00E70B55"/>
    <w:rsid w:val="00E96F56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EA16A-7E51-4AE6-958A-A423A11C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25CD"/>
    <w:pPr>
      <w:keepNext/>
      <w:widowControl w:val="0"/>
      <w:snapToGrid w:val="0"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525CD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525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525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F5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E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27C6F8A4F340A9AA11EE9CC19F29" ma:contentTypeVersion="96" ma:contentTypeDescription="Create a new document." ma:contentTypeScope="" ma:versionID="3b293224fc1b4333bd18e477867c1a5c">
  <xsd:schema xmlns:xsd="http://www.w3.org/2001/XMLSchema" xmlns:xs="http://www.w3.org/2001/XMLSchema" xmlns:p="http://schemas.microsoft.com/office/2006/metadata/properties" xmlns:ns2="83a715fa-b0d7-47ca-a0ea-45e451126346" xmlns:ns3="e51b0a7f-11d3-43b0-81a2-92675d3b31d7" targetNamespace="http://schemas.microsoft.com/office/2006/metadata/properties" ma:root="true" ma:fieldsID="71b73e55b9ef6412a9c4d7719d126335" ns2:_="" ns3:_="">
    <xsd:import namespace="83a715fa-b0d7-47ca-a0ea-45e451126346"/>
    <xsd:import namespace="e51b0a7f-11d3-43b0-81a2-92675d3b3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15fa-b0d7-47ca-a0ea-45e45112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0a7f-11d3-43b0-81a2-92675d3b31d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1e867eb-0ccf-46b3-a8be-678a344b5681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a715fa-b0d7-47ca-a0ea-45e4511263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647541-788E-4CE7-B27A-B8840D082A14}"/>
</file>

<file path=customXml/itemProps2.xml><?xml version="1.0" encoding="utf-8"?>
<ds:datastoreItem xmlns:ds="http://schemas.openxmlformats.org/officeDocument/2006/customXml" ds:itemID="{67B6BEF6-346E-4BE2-8C46-BB6537148978}"/>
</file>

<file path=customXml/itemProps3.xml><?xml version="1.0" encoding="utf-8"?>
<ds:datastoreItem xmlns:ds="http://schemas.openxmlformats.org/officeDocument/2006/customXml" ds:itemID="{7534874D-C356-4E95-8C9C-E4A2A6BC4F75}"/>
</file>

<file path=customXml/itemProps4.xml><?xml version="1.0" encoding="utf-8"?>
<ds:datastoreItem xmlns:ds="http://schemas.openxmlformats.org/officeDocument/2006/customXml" ds:itemID="{52AAA74B-431B-49CD-A888-0FD40F06E400}"/>
</file>

<file path=customXml/itemProps5.xml><?xml version="1.0" encoding="utf-8"?>
<ds:datastoreItem xmlns:ds="http://schemas.openxmlformats.org/officeDocument/2006/customXml" ds:itemID="{0FCF02FF-994F-4F44-A3C3-712319F32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Matthews,Winton</cp:lastModifiedBy>
  <cp:revision>3</cp:revision>
  <cp:lastPrinted>2015-03-04T19:54:00Z</cp:lastPrinted>
  <dcterms:created xsi:type="dcterms:W3CDTF">2015-03-10T21:11:00Z</dcterms:created>
  <dcterms:modified xsi:type="dcterms:W3CDTF">2015-03-10T21:14:00Z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0x010100B29827C6F8A4F340A9AA11EE9CC19F29</vt:lpwstr>
  </property>
</Properties>
</file>