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B2CE" w14:textId="77777777" w:rsidR="00F317EB" w:rsidRPr="000D2B0B" w:rsidRDefault="00F317EB" w:rsidP="00F764B8">
      <w:pPr>
        <w:pStyle w:val="DocumentType"/>
        <w:spacing w:after="1080"/>
      </w:pPr>
      <w:bookmarkStart w:id="0" w:name="_GoBack"/>
      <w:bookmarkEnd w:id="0"/>
    </w:p>
    <w:tbl>
      <w:tblPr>
        <w:tblStyle w:val="TableGrid"/>
        <w:tblW w:w="8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47"/>
      </w:tblGrid>
      <w:tr w:rsidR="006E291C" w:rsidRPr="000D2B0B" w14:paraId="1C9404CB" w14:textId="77777777" w:rsidTr="00BE0358">
        <w:sdt>
          <w:sdtPr>
            <w:rPr>
              <w:rFonts w:cs="Arial"/>
            </w:rPr>
            <w:alias w:val="Title"/>
            <w:tag w:val="Title"/>
            <w:id w:val="32857016"/>
            <w:placeholder>
              <w:docPart w:val="3BC8735246AB4239AA1FCD9662ACFB0B"/>
            </w:placeholder>
            <w:dataBinding w:prefixMappings="xmlns:ns0='http://purl.org/dc/elements/1.1/' xmlns:ns1='http://schemas.openxmlformats.org/package/2006/metadata/core-properties' " w:xpath="/ns1:coreProperties[1]/ns0:title[1]" w:storeItemID="{6C3C8BC8-F283-45AE-878A-BAB7291924A1}"/>
            <w:text/>
          </w:sdtPr>
          <w:sdtEndPr/>
          <w:sdtContent>
            <w:tc>
              <w:tcPr>
                <w:tcW w:w="8947" w:type="dxa"/>
              </w:tcPr>
              <w:p w14:paraId="13E3933B" w14:textId="13087F70" w:rsidR="006E291C" w:rsidRPr="000D2B0B" w:rsidRDefault="008806DF" w:rsidP="00963AE3">
                <w:pPr>
                  <w:pStyle w:val="Title"/>
                </w:pPr>
                <w:r>
                  <w:rPr>
                    <w:rFonts w:cs="Arial"/>
                  </w:rPr>
                  <w:t>ONSITE VOLUNTEER PROGRAM POLICY</w:t>
                </w:r>
              </w:p>
            </w:tc>
          </w:sdtContent>
        </w:sdt>
      </w:tr>
      <w:tr w:rsidR="006E291C" w:rsidRPr="000D2B0B" w14:paraId="16BDBE44" w14:textId="77777777" w:rsidTr="00BE0358">
        <w:sdt>
          <w:sdtPr>
            <w:alias w:val="Subtitle"/>
            <w:tag w:val="Subtitle"/>
            <w:id w:val="32857018"/>
            <w:placeholder>
              <w:docPart w:val="4A3981F24A8C43B391EB971DA1D634F8"/>
            </w:placeholder>
            <w:dataBinding w:prefixMappings="xmlns:ns0='http://purl.org/dc/elements/1.1/' xmlns:ns1='http://schemas.openxmlformats.org/package/2006/metadata/core-properties' " w:xpath="/ns1:coreProperties[1]/ns0:subject[1]" w:storeItemID="{6C3C8BC8-F283-45AE-878A-BAB7291924A1}"/>
            <w:text/>
          </w:sdtPr>
          <w:sdtEndPr/>
          <w:sdtContent>
            <w:tc>
              <w:tcPr>
                <w:tcW w:w="8947" w:type="dxa"/>
              </w:tcPr>
              <w:p w14:paraId="7588A8B9" w14:textId="3CA5ED88" w:rsidR="006E291C" w:rsidRPr="000D2B0B" w:rsidRDefault="00D367AC" w:rsidP="00963AE3">
                <w:pPr>
                  <w:pStyle w:val="Subtitle"/>
                </w:pPr>
                <w:r>
                  <w:t>Volunteer Program/ Engagement/Exhibitions</w:t>
                </w:r>
              </w:p>
            </w:tc>
          </w:sdtContent>
        </w:sdt>
      </w:tr>
      <w:tr w:rsidR="00BE0358" w:rsidRPr="000D2B0B" w14:paraId="0B686DC8" w14:textId="77777777" w:rsidTr="00BE0358">
        <w:trPr>
          <w:trHeight w:val="5853"/>
        </w:trPr>
        <w:tc>
          <w:tcPr>
            <w:tcW w:w="8947" w:type="dxa"/>
          </w:tcPr>
          <w:p w14:paraId="0838F054" w14:textId="43F71967" w:rsidR="00BE0358" w:rsidRPr="000D2B0B" w:rsidRDefault="00963AE3" w:rsidP="001A2232">
            <w:pPr>
              <w:pStyle w:val="Subtitle"/>
            </w:pPr>
            <w:r>
              <w:t xml:space="preserve">Policy Number: </w:t>
            </w:r>
            <w:r w:rsidR="00D367AC">
              <w:rPr>
                <w:rFonts w:cs="Arial"/>
              </w:rPr>
              <w:t>PCY14/009</w:t>
            </w:r>
          </w:p>
        </w:tc>
      </w:tr>
      <w:tr w:rsidR="00BE0358" w:rsidRPr="000D2B0B" w14:paraId="30996F20" w14:textId="77777777" w:rsidTr="00BE0358">
        <w:trPr>
          <w:trHeight w:val="459"/>
        </w:trPr>
        <w:sdt>
          <w:sdtPr>
            <w:rPr>
              <w:rFonts w:cs="Arial"/>
            </w:rPr>
            <w:alias w:val="Author"/>
            <w:tag w:val="Author"/>
            <w:id w:val="807751688"/>
            <w:placeholder>
              <w:docPart w:val="31352889EDB74145A777BB8E3BEFAAEF"/>
            </w:placeholder>
            <w:text/>
          </w:sdtPr>
          <w:sdtEndPr/>
          <w:sdtContent>
            <w:tc>
              <w:tcPr>
                <w:tcW w:w="8947" w:type="dxa"/>
              </w:tcPr>
              <w:p w14:paraId="40484C07" w14:textId="26CBBD64" w:rsidR="00BE0358" w:rsidRPr="008806DF" w:rsidRDefault="00D367AC" w:rsidP="00963AE3">
                <w:pPr>
                  <w:pStyle w:val="BodyText"/>
                </w:pPr>
                <w:r w:rsidRPr="008806DF">
                  <w:rPr>
                    <w:rFonts w:cs="Arial"/>
                  </w:rPr>
                  <w:t>Approved: [</w:t>
                </w:r>
                <w:r w:rsidR="0081424D">
                  <w:rPr>
                    <w:rFonts w:cs="Arial"/>
                  </w:rPr>
                  <w:t>06 APRIL</w:t>
                </w:r>
                <w:r w:rsidRPr="008806DF">
                  <w:rPr>
                    <w:rFonts w:cs="Arial"/>
                  </w:rPr>
                  <w:t xml:space="preserve"> 2021]</w:t>
                </w:r>
              </w:p>
            </w:tc>
          </w:sdtContent>
        </w:sdt>
      </w:tr>
      <w:tr w:rsidR="00BE0358" w:rsidRPr="000D2B0B" w14:paraId="500BF7EB" w14:textId="77777777" w:rsidTr="00BE0358">
        <w:trPr>
          <w:trHeight w:val="486"/>
        </w:trPr>
        <w:tc>
          <w:tcPr>
            <w:tcW w:w="8947" w:type="dxa"/>
          </w:tcPr>
          <w:p w14:paraId="0948FC84" w14:textId="3841C160" w:rsidR="00BE0358" w:rsidRPr="008806DF" w:rsidRDefault="00886C96" w:rsidP="00963AE3">
            <w:pPr>
              <w:pStyle w:val="BodyText"/>
            </w:pPr>
            <w:sdt>
              <w:sdtPr>
                <w:rPr>
                  <w:rFonts w:cs="Arial"/>
                </w:rPr>
                <w:alias w:val="Author Position"/>
                <w:tag w:val="Author"/>
                <w:id w:val="1885203080"/>
                <w:placeholder>
                  <w:docPart w:val="0E7ECF7F11AA47BA969D534E214A2F43"/>
                </w:placeholder>
                <w:text/>
              </w:sdtPr>
              <w:sdtEndPr/>
              <w:sdtContent>
                <w:r w:rsidR="005D649B" w:rsidRPr="008806DF">
                  <w:rPr>
                    <w:rFonts w:cs="Arial"/>
                  </w:rPr>
                  <w:t xml:space="preserve">Next review: </w:t>
                </w:r>
                <w:r w:rsidR="005D649B">
                  <w:rPr>
                    <w:rFonts w:cs="Arial"/>
                  </w:rPr>
                  <w:t>[</w:t>
                </w:r>
                <w:r w:rsidR="0081424D">
                  <w:rPr>
                    <w:rFonts w:cs="Arial"/>
                  </w:rPr>
                  <w:t>APRIL</w:t>
                </w:r>
                <w:r w:rsidR="005D649B" w:rsidRPr="008806DF">
                  <w:rPr>
                    <w:rFonts w:cs="Arial"/>
                  </w:rPr>
                  <w:t xml:space="preserve"> 202</w:t>
                </w:r>
                <w:r w:rsidR="00BA2406">
                  <w:rPr>
                    <w:rFonts w:cs="Arial"/>
                  </w:rPr>
                  <w:t>6</w:t>
                </w:r>
              </w:sdtContent>
            </w:sdt>
            <w:r w:rsidR="008806DF">
              <w:rPr>
                <w:rFonts w:cs="Arial"/>
              </w:rPr>
              <w:t>]</w:t>
            </w:r>
          </w:p>
        </w:tc>
      </w:tr>
      <w:tr w:rsidR="00BE0358" w:rsidRPr="00734862" w14:paraId="16E4F8E0" w14:textId="77777777" w:rsidTr="00BE0358">
        <w:trPr>
          <w:trHeight w:val="422"/>
        </w:trPr>
        <w:tc>
          <w:tcPr>
            <w:tcW w:w="8947" w:type="dxa"/>
          </w:tcPr>
          <w:p w14:paraId="7632D366" w14:textId="77777777" w:rsidR="00BE0358" w:rsidRPr="00734862" w:rsidRDefault="00BE0358" w:rsidP="00963AE3">
            <w:pPr>
              <w:pStyle w:val="BodyText"/>
            </w:pPr>
          </w:p>
        </w:tc>
      </w:tr>
    </w:tbl>
    <w:p w14:paraId="692C76EC" w14:textId="77777777" w:rsidR="00E00A18" w:rsidRDefault="00E00A18" w:rsidP="00E00A18">
      <w:pPr>
        <w:pStyle w:val="BodyText"/>
        <w:rPr>
          <w:lang w:eastAsia="en-AU"/>
        </w:rPr>
      </w:pPr>
      <w:r>
        <w:rPr>
          <w:lang w:eastAsia="en-AU"/>
        </w:rPr>
        <w:br w:type="page"/>
      </w:r>
    </w:p>
    <w:p w14:paraId="69DB3BDC" w14:textId="77777777" w:rsidR="00963AE3" w:rsidRDefault="00963AE3" w:rsidP="00963AE3">
      <w:pPr>
        <w:autoSpaceDE w:val="0"/>
        <w:autoSpaceDN w:val="0"/>
        <w:adjustRightInd w:val="0"/>
        <w:rPr>
          <w:rFonts w:cs="ApolloMT"/>
          <w:b/>
          <w:szCs w:val="20"/>
          <w:lang w:eastAsia="en-AU"/>
        </w:rPr>
      </w:pPr>
    </w:p>
    <w:p w14:paraId="1A9457FE" w14:textId="77777777" w:rsidR="00963AE3" w:rsidRDefault="00963AE3" w:rsidP="00963AE3">
      <w:pPr>
        <w:pStyle w:val="BodyText"/>
        <w:rPr>
          <w:lang w:eastAsia="en-AU"/>
        </w:rPr>
      </w:pPr>
      <w:r>
        <w:rPr>
          <w:lang w:eastAsia="en-AU"/>
        </w:rPr>
        <w:t>[Version control: may be removed once document is published, especially for external documents]</w:t>
      </w:r>
    </w:p>
    <w:p w14:paraId="4800626C" w14:textId="77777777" w:rsidR="00963AE3" w:rsidRDefault="00963AE3" w:rsidP="00963AE3">
      <w:pPr>
        <w:autoSpaceDE w:val="0"/>
        <w:autoSpaceDN w:val="0"/>
        <w:adjustRightInd w:val="0"/>
        <w:rPr>
          <w:rFonts w:cs="ApolloMT"/>
          <w:b/>
          <w:szCs w:val="20"/>
          <w:lang w:eastAsia="en-AU"/>
        </w:rPr>
      </w:pPr>
    </w:p>
    <w:p w14:paraId="51CC9716" w14:textId="77777777" w:rsidR="00963AE3" w:rsidRPr="00121250" w:rsidRDefault="00963AE3" w:rsidP="00121250">
      <w:pPr>
        <w:pStyle w:val="BodyText"/>
        <w:rPr>
          <w:b/>
          <w:bCs/>
          <w:lang w:eastAsia="en-AU"/>
        </w:rPr>
      </w:pPr>
      <w:r w:rsidRPr="00121250">
        <w:rPr>
          <w:b/>
          <w:bCs/>
          <w:lang w:eastAsia="en-AU"/>
        </w:rPr>
        <w:t>Document tracking</w:t>
      </w:r>
    </w:p>
    <w:p w14:paraId="30CCF644" w14:textId="77777777" w:rsidR="00963AE3" w:rsidRDefault="00963AE3" w:rsidP="00121250">
      <w:pPr>
        <w:pStyle w:val="BodyText"/>
        <w:rPr>
          <w:rFonts w:cs="ApolloMT"/>
          <w:szCs w:val="20"/>
          <w:lang w:eastAsia="en-AU"/>
        </w:rPr>
      </w:pPr>
    </w:p>
    <w:tbl>
      <w:tblPr>
        <w:tblW w:w="49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69"/>
        <w:gridCol w:w="2707"/>
        <w:gridCol w:w="4516"/>
      </w:tblGrid>
      <w:tr w:rsidR="00963AE3" w:rsidRPr="00530C00" w14:paraId="49911090" w14:textId="77777777" w:rsidTr="00500EB5">
        <w:tc>
          <w:tcPr>
            <w:tcW w:w="845" w:type="pct"/>
            <w:tcBorders>
              <w:top w:val="single" w:sz="2" w:space="0" w:color="auto"/>
              <w:left w:val="single" w:sz="2" w:space="0" w:color="auto"/>
              <w:bottom w:val="single" w:sz="2" w:space="0" w:color="auto"/>
              <w:right w:val="single" w:sz="2" w:space="0" w:color="auto"/>
            </w:tcBorders>
          </w:tcPr>
          <w:p w14:paraId="42106F49" w14:textId="77777777" w:rsidR="00963AE3" w:rsidRPr="00530C00" w:rsidRDefault="00963AE3" w:rsidP="00121250">
            <w:pPr>
              <w:pStyle w:val="BodyText"/>
              <w:rPr>
                <w:b/>
              </w:rPr>
            </w:pPr>
            <w:r w:rsidRPr="00530C00">
              <w:rPr>
                <w:b/>
                <w:lang w:val="en-GB"/>
              </w:rPr>
              <w:t>Date</w:t>
            </w:r>
          </w:p>
        </w:tc>
        <w:tc>
          <w:tcPr>
            <w:tcW w:w="1557" w:type="pct"/>
            <w:tcBorders>
              <w:top w:val="single" w:sz="2" w:space="0" w:color="auto"/>
              <w:left w:val="single" w:sz="2" w:space="0" w:color="auto"/>
              <w:bottom w:val="single" w:sz="2" w:space="0" w:color="auto"/>
              <w:right w:val="single" w:sz="2" w:space="0" w:color="auto"/>
            </w:tcBorders>
          </w:tcPr>
          <w:p w14:paraId="0B8A2288" w14:textId="77777777" w:rsidR="00963AE3" w:rsidRPr="00530C00" w:rsidRDefault="00963AE3" w:rsidP="00121250">
            <w:pPr>
              <w:pStyle w:val="BodyText"/>
              <w:rPr>
                <w:b/>
              </w:rPr>
            </w:pPr>
            <w:r w:rsidRPr="00530C00">
              <w:rPr>
                <w:b/>
                <w:lang w:val="en-GB"/>
              </w:rPr>
              <w:t>Name</w:t>
            </w:r>
          </w:p>
        </w:tc>
        <w:tc>
          <w:tcPr>
            <w:tcW w:w="2598" w:type="pct"/>
            <w:tcBorders>
              <w:top w:val="single" w:sz="2" w:space="0" w:color="auto"/>
              <w:left w:val="single" w:sz="2" w:space="0" w:color="auto"/>
              <w:bottom w:val="single" w:sz="2" w:space="0" w:color="auto"/>
              <w:right w:val="single" w:sz="2" w:space="0" w:color="auto"/>
            </w:tcBorders>
          </w:tcPr>
          <w:p w14:paraId="4D5B7B2B" w14:textId="77777777" w:rsidR="00963AE3" w:rsidRPr="00530C00" w:rsidRDefault="00963AE3" w:rsidP="00121250">
            <w:pPr>
              <w:pStyle w:val="BodyText"/>
              <w:rPr>
                <w:b/>
                <w:lang w:val="fr-FR"/>
              </w:rPr>
            </w:pPr>
            <w:proofErr w:type="spellStart"/>
            <w:r w:rsidRPr="00530C00">
              <w:rPr>
                <w:b/>
                <w:lang w:val="fr-FR"/>
              </w:rPr>
              <w:t>Revision</w:t>
            </w:r>
            <w:proofErr w:type="spellEnd"/>
          </w:p>
        </w:tc>
      </w:tr>
      <w:tr w:rsidR="00963AE3" w:rsidRPr="007947FC" w14:paraId="418E70E3" w14:textId="77777777" w:rsidTr="00500EB5">
        <w:tc>
          <w:tcPr>
            <w:tcW w:w="845" w:type="pct"/>
            <w:tcBorders>
              <w:top w:val="single" w:sz="2" w:space="0" w:color="auto"/>
            </w:tcBorders>
          </w:tcPr>
          <w:p w14:paraId="5D354C63" w14:textId="6E71F396" w:rsidR="00963AE3" w:rsidRPr="00963AE3" w:rsidRDefault="00D367AC" w:rsidP="00121250">
            <w:pPr>
              <w:pStyle w:val="BodyText"/>
            </w:pPr>
            <w:r>
              <w:t>2014</w:t>
            </w:r>
          </w:p>
        </w:tc>
        <w:tc>
          <w:tcPr>
            <w:tcW w:w="1557" w:type="pct"/>
            <w:tcBorders>
              <w:top w:val="single" w:sz="2" w:space="0" w:color="auto"/>
            </w:tcBorders>
          </w:tcPr>
          <w:p w14:paraId="60C05744" w14:textId="069D1342" w:rsidR="00963AE3" w:rsidRPr="00D367AC" w:rsidRDefault="00D367AC" w:rsidP="00121250">
            <w:pPr>
              <w:pStyle w:val="BodyText"/>
            </w:pPr>
            <w:r>
              <w:t xml:space="preserve">Lauren Brown </w:t>
            </w:r>
          </w:p>
        </w:tc>
        <w:tc>
          <w:tcPr>
            <w:tcW w:w="2598" w:type="pct"/>
            <w:tcBorders>
              <w:top w:val="single" w:sz="2" w:space="0" w:color="auto"/>
            </w:tcBorders>
          </w:tcPr>
          <w:p w14:paraId="4DE0BBB8" w14:textId="77777777" w:rsidR="00963AE3" w:rsidRPr="00264F6D" w:rsidRDefault="00963AE3" w:rsidP="00121250">
            <w:pPr>
              <w:pStyle w:val="BodyText"/>
            </w:pPr>
            <w:bookmarkStart w:id="1" w:name="_Toc333226712"/>
            <w:r w:rsidRPr="00264F6D">
              <w:t>Working draft created</w:t>
            </w:r>
            <w:bookmarkEnd w:id="1"/>
          </w:p>
        </w:tc>
      </w:tr>
      <w:tr w:rsidR="00D367AC" w:rsidRPr="007947FC" w14:paraId="759EA6FE" w14:textId="77777777" w:rsidTr="00500EB5">
        <w:tc>
          <w:tcPr>
            <w:tcW w:w="845" w:type="pct"/>
            <w:tcBorders>
              <w:bottom w:val="single" w:sz="2" w:space="0" w:color="auto"/>
            </w:tcBorders>
          </w:tcPr>
          <w:p w14:paraId="108D95A6" w14:textId="5D11CBE3" w:rsidR="00D367AC" w:rsidRPr="00963AE3" w:rsidRDefault="00D367AC" w:rsidP="00D367AC">
            <w:pPr>
              <w:pStyle w:val="BodyText"/>
              <w:rPr>
                <w:i/>
                <w:iCs/>
              </w:rPr>
            </w:pPr>
            <w:r>
              <w:rPr>
                <w:rFonts w:cs="Arial"/>
              </w:rPr>
              <w:t>Feb 2021</w:t>
            </w:r>
          </w:p>
        </w:tc>
        <w:tc>
          <w:tcPr>
            <w:tcW w:w="1557" w:type="pct"/>
            <w:tcBorders>
              <w:bottom w:val="single" w:sz="2" w:space="0" w:color="auto"/>
            </w:tcBorders>
          </w:tcPr>
          <w:p w14:paraId="22B2CB56" w14:textId="7F22E5F8" w:rsidR="00D367AC" w:rsidRPr="00963AE3" w:rsidRDefault="00D367AC" w:rsidP="00D367AC">
            <w:pPr>
              <w:pStyle w:val="BodyText"/>
              <w:rPr>
                <w:i/>
                <w:iCs/>
              </w:rPr>
            </w:pPr>
            <w:r>
              <w:rPr>
                <w:rFonts w:cs="Arial"/>
              </w:rPr>
              <w:t xml:space="preserve">Rebecca Watson </w:t>
            </w:r>
          </w:p>
        </w:tc>
        <w:tc>
          <w:tcPr>
            <w:tcW w:w="2598" w:type="pct"/>
            <w:tcBorders>
              <w:bottom w:val="single" w:sz="2" w:space="0" w:color="auto"/>
            </w:tcBorders>
          </w:tcPr>
          <w:p w14:paraId="402F6767" w14:textId="78DD5154" w:rsidR="00D367AC" w:rsidRPr="00963AE3" w:rsidRDefault="00D367AC" w:rsidP="00D367AC">
            <w:pPr>
              <w:pStyle w:val="BodyText"/>
              <w:rPr>
                <w:i/>
                <w:iCs/>
              </w:rPr>
            </w:pPr>
            <w:r>
              <w:rPr>
                <w:rFonts w:cs="Arial"/>
              </w:rPr>
              <w:t xml:space="preserve">Review of policy completed </w:t>
            </w:r>
          </w:p>
        </w:tc>
      </w:tr>
      <w:tr w:rsidR="00D367AC" w:rsidRPr="007947FC" w14:paraId="33BD8829" w14:textId="77777777" w:rsidTr="00500EB5">
        <w:tc>
          <w:tcPr>
            <w:tcW w:w="845" w:type="pct"/>
          </w:tcPr>
          <w:p w14:paraId="6279508A" w14:textId="77777777" w:rsidR="00D367AC" w:rsidRPr="00963AE3" w:rsidRDefault="00D367AC" w:rsidP="00D367AC">
            <w:pPr>
              <w:pStyle w:val="BodyText"/>
              <w:rPr>
                <w:i/>
                <w:iCs/>
              </w:rPr>
            </w:pPr>
          </w:p>
        </w:tc>
        <w:tc>
          <w:tcPr>
            <w:tcW w:w="1557" w:type="pct"/>
          </w:tcPr>
          <w:p w14:paraId="6313981F" w14:textId="5D85F5A1" w:rsidR="00D367AC" w:rsidRPr="00963AE3" w:rsidRDefault="00D367AC" w:rsidP="00D367AC">
            <w:pPr>
              <w:pStyle w:val="BodyText"/>
              <w:rPr>
                <w:i/>
                <w:iCs/>
              </w:rPr>
            </w:pPr>
            <w:r>
              <w:rPr>
                <w:rFonts w:cs="Arial"/>
              </w:rPr>
              <w:t xml:space="preserve">Guy Hansen </w:t>
            </w:r>
          </w:p>
        </w:tc>
        <w:tc>
          <w:tcPr>
            <w:tcW w:w="2598" w:type="pct"/>
          </w:tcPr>
          <w:p w14:paraId="01BFBCE0" w14:textId="772D13E7" w:rsidR="00D367AC" w:rsidRPr="00963AE3" w:rsidRDefault="00D367AC" w:rsidP="00D367AC">
            <w:pPr>
              <w:pStyle w:val="BodyText"/>
              <w:rPr>
                <w:i/>
                <w:iCs/>
              </w:rPr>
            </w:pPr>
            <w:r w:rsidRPr="008806DF">
              <w:rPr>
                <w:rFonts w:cs="Arial"/>
              </w:rPr>
              <w:t>Approved by Section Head</w:t>
            </w:r>
          </w:p>
        </w:tc>
      </w:tr>
      <w:tr w:rsidR="00D367AC" w:rsidRPr="007947FC" w14:paraId="592EAC4E" w14:textId="77777777" w:rsidTr="00500EB5">
        <w:tc>
          <w:tcPr>
            <w:tcW w:w="845" w:type="pct"/>
          </w:tcPr>
          <w:p w14:paraId="091D5BE0" w14:textId="77777777" w:rsidR="00D367AC" w:rsidRPr="00963AE3" w:rsidRDefault="00D367AC" w:rsidP="00D367AC">
            <w:pPr>
              <w:pStyle w:val="BodyText"/>
              <w:rPr>
                <w:i/>
                <w:iCs/>
              </w:rPr>
            </w:pPr>
          </w:p>
        </w:tc>
        <w:tc>
          <w:tcPr>
            <w:tcW w:w="1557" w:type="pct"/>
          </w:tcPr>
          <w:p w14:paraId="465A55B9" w14:textId="77777777" w:rsidR="00D367AC" w:rsidRPr="00963AE3" w:rsidRDefault="00D367AC" w:rsidP="00D367AC">
            <w:pPr>
              <w:pStyle w:val="BodyText"/>
              <w:rPr>
                <w:i/>
                <w:iCs/>
              </w:rPr>
            </w:pPr>
          </w:p>
        </w:tc>
        <w:tc>
          <w:tcPr>
            <w:tcW w:w="2598" w:type="pct"/>
          </w:tcPr>
          <w:p w14:paraId="129780A3" w14:textId="77777777" w:rsidR="00D367AC" w:rsidRPr="00963AE3" w:rsidRDefault="00D367AC" w:rsidP="00D367AC">
            <w:pPr>
              <w:pStyle w:val="BodyText"/>
              <w:rPr>
                <w:i/>
                <w:iCs/>
              </w:rPr>
            </w:pPr>
          </w:p>
        </w:tc>
      </w:tr>
      <w:tr w:rsidR="00D367AC" w:rsidRPr="007947FC" w14:paraId="3C0F1C66" w14:textId="77777777" w:rsidTr="00500EB5">
        <w:tc>
          <w:tcPr>
            <w:tcW w:w="845" w:type="pct"/>
          </w:tcPr>
          <w:p w14:paraId="6E9503ED" w14:textId="77777777" w:rsidR="00D367AC" w:rsidRPr="00963AE3" w:rsidRDefault="00D367AC" w:rsidP="00D367AC">
            <w:pPr>
              <w:pStyle w:val="BodyText"/>
              <w:rPr>
                <w:i/>
                <w:iCs/>
              </w:rPr>
            </w:pPr>
          </w:p>
        </w:tc>
        <w:tc>
          <w:tcPr>
            <w:tcW w:w="1557" w:type="pct"/>
          </w:tcPr>
          <w:p w14:paraId="65C481E6" w14:textId="77777777" w:rsidR="00D367AC" w:rsidRPr="00963AE3" w:rsidRDefault="00D367AC" w:rsidP="00D367AC">
            <w:pPr>
              <w:pStyle w:val="BodyText"/>
              <w:rPr>
                <w:i/>
                <w:iCs/>
              </w:rPr>
            </w:pPr>
          </w:p>
        </w:tc>
        <w:tc>
          <w:tcPr>
            <w:tcW w:w="2598" w:type="pct"/>
          </w:tcPr>
          <w:p w14:paraId="3EB8367D" w14:textId="77777777" w:rsidR="00D367AC" w:rsidRPr="00963AE3" w:rsidRDefault="00D367AC" w:rsidP="00D367AC">
            <w:pPr>
              <w:pStyle w:val="BodyText"/>
              <w:rPr>
                <w:i/>
                <w:iCs/>
              </w:rPr>
            </w:pPr>
          </w:p>
        </w:tc>
      </w:tr>
      <w:tr w:rsidR="00D367AC" w:rsidRPr="007947FC" w14:paraId="68BB4E67" w14:textId="77777777" w:rsidTr="00500EB5">
        <w:tc>
          <w:tcPr>
            <w:tcW w:w="845" w:type="pct"/>
          </w:tcPr>
          <w:p w14:paraId="2AC1375E" w14:textId="77777777" w:rsidR="00D367AC" w:rsidRPr="00963AE3" w:rsidRDefault="00D367AC" w:rsidP="00D367AC">
            <w:pPr>
              <w:pStyle w:val="BodyText"/>
              <w:rPr>
                <w:i/>
                <w:iCs/>
              </w:rPr>
            </w:pPr>
          </w:p>
        </w:tc>
        <w:tc>
          <w:tcPr>
            <w:tcW w:w="1557" w:type="pct"/>
          </w:tcPr>
          <w:p w14:paraId="5175E179" w14:textId="77777777" w:rsidR="00D367AC" w:rsidRPr="00963AE3" w:rsidRDefault="00D367AC" w:rsidP="00D367AC">
            <w:pPr>
              <w:pStyle w:val="BodyText"/>
              <w:rPr>
                <w:i/>
                <w:iCs/>
              </w:rPr>
            </w:pPr>
          </w:p>
        </w:tc>
        <w:tc>
          <w:tcPr>
            <w:tcW w:w="2598" w:type="pct"/>
          </w:tcPr>
          <w:p w14:paraId="3257AE02" w14:textId="77777777" w:rsidR="00D367AC" w:rsidRPr="00963AE3" w:rsidRDefault="00D367AC" w:rsidP="00D367AC">
            <w:pPr>
              <w:pStyle w:val="BodyText"/>
              <w:rPr>
                <w:i/>
                <w:iCs/>
              </w:rPr>
            </w:pPr>
          </w:p>
        </w:tc>
      </w:tr>
      <w:tr w:rsidR="00D367AC" w:rsidRPr="007947FC" w14:paraId="116A3757" w14:textId="77777777" w:rsidTr="00500EB5">
        <w:tc>
          <w:tcPr>
            <w:tcW w:w="845" w:type="pct"/>
          </w:tcPr>
          <w:p w14:paraId="74BBB0CA" w14:textId="77777777" w:rsidR="00D367AC" w:rsidRPr="00963AE3" w:rsidRDefault="00D367AC" w:rsidP="00D367AC">
            <w:pPr>
              <w:pStyle w:val="BodyText"/>
              <w:rPr>
                <w:i/>
                <w:iCs/>
              </w:rPr>
            </w:pPr>
          </w:p>
        </w:tc>
        <w:tc>
          <w:tcPr>
            <w:tcW w:w="1557" w:type="pct"/>
          </w:tcPr>
          <w:p w14:paraId="5F7A1A62" w14:textId="77777777" w:rsidR="00D367AC" w:rsidRPr="00963AE3" w:rsidRDefault="00D367AC" w:rsidP="00D367AC">
            <w:pPr>
              <w:pStyle w:val="BodyText"/>
              <w:rPr>
                <w:i/>
                <w:iCs/>
              </w:rPr>
            </w:pPr>
          </w:p>
        </w:tc>
        <w:tc>
          <w:tcPr>
            <w:tcW w:w="2598" w:type="pct"/>
          </w:tcPr>
          <w:p w14:paraId="6A531C1B" w14:textId="77777777" w:rsidR="00D367AC" w:rsidRPr="00963AE3" w:rsidRDefault="00D367AC" w:rsidP="00D367AC">
            <w:pPr>
              <w:pStyle w:val="BodyText"/>
              <w:rPr>
                <w:i/>
                <w:iCs/>
              </w:rPr>
            </w:pPr>
          </w:p>
        </w:tc>
      </w:tr>
      <w:tr w:rsidR="00D367AC" w:rsidRPr="007947FC" w14:paraId="22CDABD4" w14:textId="77777777" w:rsidTr="00500EB5">
        <w:tc>
          <w:tcPr>
            <w:tcW w:w="845" w:type="pct"/>
          </w:tcPr>
          <w:p w14:paraId="32D9BDED" w14:textId="77777777" w:rsidR="00D367AC" w:rsidRPr="00963AE3" w:rsidRDefault="00D367AC" w:rsidP="00D367AC">
            <w:pPr>
              <w:pStyle w:val="BodyText"/>
              <w:rPr>
                <w:i/>
                <w:iCs/>
              </w:rPr>
            </w:pPr>
          </w:p>
        </w:tc>
        <w:tc>
          <w:tcPr>
            <w:tcW w:w="1557" w:type="pct"/>
          </w:tcPr>
          <w:p w14:paraId="66580536" w14:textId="77777777" w:rsidR="00D367AC" w:rsidRPr="00963AE3" w:rsidRDefault="00D367AC" w:rsidP="00D367AC">
            <w:pPr>
              <w:pStyle w:val="BodyText"/>
              <w:rPr>
                <w:i/>
                <w:iCs/>
              </w:rPr>
            </w:pPr>
          </w:p>
        </w:tc>
        <w:tc>
          <w:tcPr>
            <w:tcW w:w="2598" w:type="pct"/>
          </w:tcPr>
          <w:p w14:paraId="59CCD9D5" w14:textId="77777777" w:rsidR="00D367AC" w:rsidRPr="00963AE3" w:rsidRDefault="00D367AC" w:rsidP="00D367AC">
            <w:pPr>
              <w:pStyle w:val="BodyText"/>
              <w:rPr>
                <w:i/>
                <w:iCs/>
              </w:rPr>
            </w:pPr>
          </w:p>
        </w:tc>
      </w:tr>
      <w:tr w:rsidR="00D367AC" w:rsidRPr="007947FC" w14:paraId="7BE17221" w14:textId="77777777" w:rsidTr="00500EB5">
        <w:tc>
          <w:tcPr>
            <w:tcW w:w="845" w:type="pct"/>
          </w:tcPr>
          <w:p w14:paraId="4745A9A0" w14:textId="77777777" w:rsidR="00D367AC" w:rsidRPr="00963AE3" w:rsidRDefault="00D367AC" w:rsidP="00D367AC">
            <w:pPr>
              <w:pStyle w:val="BodyText"/>
              <w:rPr>
                <w:i/>
                <w:iCs/>
              </w:rPr>
            </w:pPr>
          </w:p>
        </w:tc>
        <w:tc>
          <w:tcPr>
            <w:tcW w:w="1557" w:type="pct"/>
          </w:tcPr>
          <w:p w14:paraId="56892F26" w14:textId="5CC48049" w:rsidR="00D367AC" w:rsidRPr="00264F6D" w:rsidRDefault="00F02A4E" w:rsidP="00D367AC">
            <w:pPr>
              <w:pStyle w:val="BodyText"/>
            </w:pPr>
            <w:r>
              <w:t>NLA Executive</w:t>
            </w:r>
          </w:p>
        </w:tc>
        <w:tc>
          <w:tcPr>
            <w:tcW w:w="2598" w:type="pct"/>
          </w:tcPr>
          <w:p w14:paraId="67E29E58" w14:textId="77777777" w:rsidR="00D367AC" w:rsidRPr="00264F6D" w:rsidRDefault="00D367AC" w:rsidP="00D367AC">
            <w:pPr>
              <w:pStyle w:val="BodyText"/>
            </w:pPr>
            <w:bookmarkStart w:id="2" w:name="_Toc333226714"/>
            <w:r w:rsidRPr="00264F6D">
              <w:t>Approved</w:t>
            </w:r>
            <w:bookmarkEnd w:id="2"/>
          </w:p>
        </w:tc>
      </w:tr>
    </w:tbl>
    <w:p w14:paraId="12E445DD" w14:textId="77777777" w:rsidR="00B459C5" w:rsidRPr="000D2B0B" w:rsidRDefault="00B459C5">
      <w:pPr>
        <w:spacing w:after="200" w:line="0" w:lineRule="auto"/>
      </w:pPr>
      <w:r w:rsidRPr="000D2B0B">
        <w:br w:type="page"/>
      </w:r>
    </w:p>
    <w:p w14:paraId="5A58FC16" w14:textId="77777777" w:rsidR="00963AE3" w:rsidRDefault="00963AE3" w:rsidP="007B4ADB">
      <w:pPr>
        <w:pStyle w:val="BodyText"/>
        <w:rPr>
          <w:b/>
        </w:rPr>
      </w:pPr>
    </w:p>
    <w:p w14:paraId="19906E71" w14:textId="77777777" w:rsidR="005D649B" w:rsidRDefault="00C548A7">
      <w:pPr>
        <w:pStyle w:val="TOC1"/>
        <w:tabs>
          <w:tab w:val="left" w:pos="440"/>
          <w:tab w:val="right" w:leader="dot" w:pos="8721"/>
        </w:tabs>
        <w:rPr>
          <w:b/>
        </w:rPr>
      </w:pPr>
      <w:r>
        <w:rPr>
          <w:b/>
        </w:rPr>
        <w:t>C</w:t>
      </w:r>
      <w:r w:rsidR="007B4ADB">
        <w:rPr>
          <w:b/>
        </w:rPr>
        <w:t>ontents</w:t>
      </w:r>
    </w:p>
    <w:p w14:paraId="640C1D85" w14:textId="5F7DCFFA" w:rsidR="00F247CB" w:rsidRDefault="00280CBE">
      <w:pPr>
        <w:pStyle w:val="TOC1"/>
        <w:tabs>
          <w:tab w:val="left" w:pos="440"/>
          <w:tab w:val="right" w:leader="dot" w:pos="8721"/>
        </w:tabs>
        <w:rPr>
          <w:rFonts w:asciiTheme="minorHAnsi" w:eastAsiaTheme="minorEastAsia" w:hAnsiTheme="minorHAnsi" w:cstheme="minorBidi"/>
          <w:i w:val="0"/>
          <w:noProof/>
          <w:sz w:val="22"/>
          <w:szCs w:val="22"/>
          <w:lang w:val="en-AU" w:eastAsia="en-AU"/>
        </w:rPr>
      </w:pPr>
      <w:r>
        <w:rPr>
          <w:b/>
          <w:bCs/>
          <w:i w:val="0"/>
        </w:rPr>
        <w:fldChar w:fldCharType="begin"/>
      </w:r>
      <w:r>
        <w:rPr>
          <w:b/>
          <w:bCs/>
        </w:rPr>
        <w:instrText xml:space="preserve"> TOC \o "1-1" \h \z \u </w:instrText>
      </w:r>
      <w:r>
        <w:rPr>
          <w:b/>
          <w:bCs/>
          <w:i w:val="0"/>
        </w:rPr>
        <w:fldChar w:fldCharType="separate"/>
      </w:r>
      <w:hyperlink w:anchor="_Toc67480412" w:history="1">
        <w:r w:rsidR="00F247CB" w:rsidRPr="000E2B5C">
          <w:rPr>
            <w:rStyle w:val="Hyperlink"/>
            <w:noProof/>
          </w:rPr>
          <w:t>1.</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Introduction</w:t>
        </w:r>
        <w:r w:rsidR="00F247CB">
          <w:rPr>
            <w:noProof/>
            <w:webHidden/>
          </w:rPr>
          <w:tab/>
        </w:r>
        <w:r w:rsidR="00F247CB">
          <w:rPr>
            <w:noProof/>
            <w:webHidden/>
          </w:rPr>
          <w:fldChar w:fldCharType="begin"/>
        </w:r>
        <w:r w:rsidR="00F247CB">
          <w:rPr>
            <w:noProof/>
            <w:webHidden/>
          </w:rPr>
          <w:instrText xml:space="preserve"> PAGEREF _Toc67480412 \h </w:instrText>
        </w:r>
        <w:r w:rsidR="00F247CB">
          <w:rPr>
            <w:noProof/>
            <w:webHidden/>
          </w:rPr>
        </w:r>
        <w:r w:rsidR="00F247CB">
          <w:rPr>
            <w:noProof/>
            <w:webHidden/>
          </w:rPr>
          <w:fldChar w:fldCharType="separate"/>
        </w:r>
        <w:r w:rsidR="005D649B">
          <w:rPr>
            <w:noProof/>
            <w:webHidden/>
          </w:rPr>
          <w:t>4</w:t>
        </w:r>
        <w:r w:rsidR="00F247CB">
          <w:rPr>
            <w:noProof/>
            <w:webHidden/>
          </w:rPr>
          <w:fldChar w:fldCharType="end"/>
        </w:r>
      </w:hyperlink>
    </w:p>
    <w:p w14:paraId="3FD5763F" w14:textId="02934FDD"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3" w:history="1">
        <w:r w:rsidR="00F247CB" w:rsidRPr="000E2B5C">
          <w:rPr>
            <w:rStyle w:val="Hyperlink"/>
            <w:noProof/>
          </w:rPr>
          <w:t>2.</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Policy Purpose</w:t>
        </w:r>
        <w:r w:rsidR="00F247CB">
          <w:rPr>
            <w:noProof/>
            <w:webHidden/>
          </w:rPr>
          <w:tab/>
        </w:r>
        <w:r w:rsidR="00F247CB">
          <w:rPr>
            <w:noProof/>
            <w:webHidden/>
          </w:rPr>
          <w:fldChar w:fldCharType="begin"/>
        </w:r>
        <w:r w:rsidR="00F247CB">
          <w:rPr>
            <w:noProof/>
            <w:webHidden/>
          </w:rPr>
          <w:instrText xml:space="preserve"> PAGEREF _Toc67480413 \h </w:instrText>
        </w:r>
        <w:r w:rsidR="00F247CB">
          <w:rPr>
            <w:noProof/>
            <w:webHidden/>
          </w:rPr>
        </w:r>
        <w:r w:rsidR="00F247CB">
          <w:rPr>
            <w:noProof/>
            <w:webHidden/>
          </w:rPr>
          <w:fldChar w:fldCharType="separate"/>
        </w:r>
        <w:r w:rsidR="005D649B">
          <w:rPr>
            <w:noProof/>
            <w:webHidden/>
          </w:rPr>
          <w:t>4</w:t>
        </w:r>
        <w:r w:rsidR="00F247CB">
          <w:rPr>
            <w:noProof/>
            <w:webHidden/>
          </w:rPr>
          <w:fldChar w:fldCharType="end"/>
        </w:r>
      </w:hyperlink>
    </w:p>
    <w:p w14:paraId="7B261D2F" w14:textId="4D43D935"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4" w:history="1">
        <w:r w:rsidR="00F247CB" w:rsidRPr="000E2B5C">
          <w:rPr>
            <w:rStyle w:val="Hyperlink"/>
            <w:noProof/>
          </w:rPr>
          <w:t>3.</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Policy Aims</w:t>
        </w:r>
        <w:r w:rsidR="00F247CB">
          <w:rPr>
            <w:noProof/>
            <w:webHidden/>
          </w:rPr>
          <w:tab/>
        </w:r>
        <w:r w:rsidR="00F247CB">
          <w:rPr>
            <w:noProof/>
            <w:webHidden/>
          </w:rPr>
          <w:fldChar w:fldCharType="begin"/>
        </w:r>
        <w:r w:rsidR="00F247CB">
          <w:rPr>
            <w:noProof/>
            <w:webHidden/>
          </w:rPr>
          <w:instrText xml:space="preserve"> PAGEREF _Toc67480414 \h </w:instrText>
        </w:r>
        <w:r w:rsidR="00F247CB">
          <w:rPr>
            <w:noProof/>
            <w:webHidden/>
          </w:rPr>
        </w:r>
        <w:r w:rsidR="00F247CB">
          <w:rPr>
            <w:noProof/>
            <w:webHidden/>
          </w:rPr>
          <w:fldChar w:fldCharType="separate"/>
        </w:r>
        <w:r w:rsidR="005D649B">
          <w:rPr>
            <w:noProof/>
            <w:webHidden/>
          </w:rPr>
          <w:t>4</w:t>
        </w:r>
        <w:r w:rsidR="00F247CB">
          <w:rPr>
            <w:noProof/>
            <w:webHidden/>
          </w:rPr>
          <w:fldChar w:fldCharType="end"/>
        </w:r>
      </w:hyperlink>
    </w:p>
    <w:p w14:paraId="003A8D2A" w14:textId="354295F8"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5" w:history="1">
        <w:r w:rsidR="00F247CB" w:rsidRPr="000E2B5C">
          <w:rPr>
            <w:rStyle w:val="Hyperlink"/>
            <w:noProof/>
          </w:rPr>
          <w:t>4.</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Definitions</w:t>
        </w:r>
        <w:r w:rsidR="00F247CB">
          <w:rPr>
            <w:noProof/>
            <w:webHidden/>
          </w:rPr>
          <w:tab/>
        </w:r>
        <w:r w:rsidR="00F247CB">
          <w:rPr>
            <w:noProof/>
            <w:webHidden/>
          </w:rPr>
          <w:fldChar w:fldCharType="begin"/>
        </w:r>
        <w:r w:rsidR="00F247CB">
          <w:rPr>
            <w:noProof/>
            <w:webHidden/>
          </w:rPr>
          <w:instrText xml:space="preserve"> PAGEREF _Toc67480415 \h </w:instrText>
        </w:r>
        <w:r w:rsidR="00F247CB">
          <w:rPr>
            <w:noProof/>
            <w:webHidden/>
          </w:rPr>
        </w:r>
        <w:r w:rsidR="00F247CB">
          <w:rPr>
            <w:noProof/>
            <w:webHidden/>
          </w:rPr>
          <w:fldChar w:fldCharType="separate"/>
        </w:r>
        <w:r w:rsidR="005D649B">
          <w:rPr>
            <w:noProof/>
            <w:webHidden/>
          </w:rPr>
          <w:t>4</w:t>
        </w:r>
        <w:r w:rsidR="00F247CB">
          <w:rPr>
            <w:noProof/>
            <w:webHidden/>
          </w:rPr>
          <w:fldChar w:fldCharType="end"/>
        </w:r>
      </w:hyperlink>
    </w:p>
    <w:p w14:paraId="614625C0" w14:textId="4665F9BA"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6" w:history="1">
        <w:r w:rsidR="00F247CB" w:rsidRPr="000E2B5C">
          <w:rPr>
            <w:rStyle w:val="Hyperlink"/>
            <w:noProof/>
          </w:rPr>
          <w:t>5.</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Policy statement</w:t>
        </w:r>
        <w:r w:rsidR="00F247CB">
          <w:rPr>
            <w:noProof/>
            <w:webHidden/>
          </w:rPr>
          <w:tab/>
        </w:r>
        <w:r w:rsidR="00F247CB">
          <w:rPr>
            <w:noProof/>
            <w:webHidden/>
          </w:rPr>
          <w:fldChar w:fldCharType="begin"/>
        </w:r>
        <w:r w:rsidR="00F247CB">
          <w:rPr>
            <w:noProof/>
            <w:webHidden/>
          </w:rPr>
          <w:instrText xml:space="preserve"> PAGEREF _Toc67480416 \h </w:instrText>
        </w:r>
        <w:r w:rsidR="00F247CB">
          <w:rPr>
            <w:noProof/>
            <w:webHidden/>
          </w:rPr>
        </w:r>
        <w:r w:rsidR="00F247CB">
          <w:rPr>
            <w:noProof/>
            <w:webHidden/>
          </w:rPr>
          <w:fldChar w:fldCharType="separate"/>
        </w:r>
        <w:r w:rsidR="005D649B">
          <w:rPr>
            <w:noProof/>
            <w:webHidden/>
          </w:rPr>
          <w:t>6</w:t>
        </w:r>
        <w:r w:rsidR="00F247CB">
          <w:rPr>
            <w:noProof/>
            <w:webHidden/>
          </w:rPr>
          <w:fldChar w:fldCharType="end"/>
        </w:r>
      </w:hyperlink>
    </w:p>
    <w:p w14:paraId="5B231802" w14:textId="209A1049"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7" w:history="1">
        <w:r w:rsidR="00F247CB" w:rsidRPr="000E2B5C">
          <w:rPr>
            <w:rStyle w:val="Hyperlink"/>
            <w:noProof/>
          </w:rPr>
          <w:t>6.</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Key roles and responsibilities</w:t>
        </w:r>
        <w:r w:rsidR="00F247CB">
          <w:rPr>
            <w:noProof/>
            <w:webHidden/>
          </w:rPr>
          <w:tab/>
        </w:r>
        <w:r w:rsidR="00F247CB">
          <w:rPr>
            <w:noProof/>
            <w:webHidden/>
          </w:rPr>
          <w:fldChar w:fldCharType="begin"/>
        </w:r>
        <w:r w:rsidR="00F247CB">
          <w:rPr>
            <w:noProof/>
            <w:webHidden/>
          </w:rPr>
          <w:instrText xml:space="preserve"> PAGEREF _Toc67480417 \h </w:instrText>
        </w:r>
        <w:r w:rsidR="00F247CB">
          <w:rPr>
            <w:noProof/>
            <w:webHidden/>
          </w:rPr>
        </w:r>
        <w:r w:rsidR="00F247CB">
          <w:rPr>
            <w:noProof/>
            <w:webHidden/>
          </w:rPr>
          <w:fldChar w:fldCharType="separate"/>
        </w:r>
        <w:r w:rsidR="005D649B">
          <w:rPr>
            <w:noProof/>
            <w:webHidden/>
          </w:rPr>
          <w:t>6</w:t>
        </w:r>
        <w:r w:rsidR="00F247CB">
          <w:rPr>
            <w:noProof/>
            <w:webHidden/>
          </w:rPr>
          <w:fldChar w:fldCharType="end"/>
        </w:r>
      </w:hyperlink>
    </w:p>
    <w:p w14:paraId="6C5CE41C" w14:textId="18AB53E6"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8" w:history="1">
        <w:r w:rsidR="00F247CB" w:rsidRPr="000E2B5C">
          <w:rPr>
            <w:rStyle w:val="Hyperlink"/>
            <w:noProof/>
          </w:rPr>
          <w:t>7.</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Key Outcome(s) and Output(s)</w:t>
        </w:r>
        <w:r w:rsidR="00F247CB">
          <w:rPr>
            <w:noProof/>
            <w:webHidden/>
          </w:rPr>
          <w:tab/>
        </w:r>
        <w:r w:rsidR="00F247CB">
          <w:rPr>
            <w:noProof/>
            <w:webHidden/>
          </w:rPr>
          <w:fldChar w:fldCharType="begin"/>
        </w:r>
        <w:r w:rsidR="00F247CB">
          <w:rPr>
            <w:noProof/>
            <w:webHidden/>
          </w:rPr>
          <w:instrText xml:space="preserve"> PAGEREF _Toc67480418 \h </w:instrText>
        </w:r>
        <w:r w:rsidR="00F247CB">
          <w:rPr>
            <w:noProof/>
            <w:webHidden/>
          </w:rPr>
        </w:r>
        <w:r w:rsidR="00F247CB">
          <w:rPr>
            <w:noProof/>
            <w:webHidden/>
          </w:rPr>
          <w:fldChar w:fldCharType="separate"/>
        </w:r>
        <w:r w:rsidR="005D649B">
          <w:rPr>
            <w:noProof/>
            <w:webHidden/>
          </w:rPr>
          <w:t>7</w:t>
        </w:r>
        <w:r w:rsidR="00F247CB">
          <w:rPr>
            <w:noProof/>
            <w:webHidden/>
          </w:rPr>
          <w:fldChar w:fldCharType="end"/>
        </w:r>
      </w:hyperlink>
    </w:p>
    <w:p w14:paraId="42A7E8C7" w14:textId="33B36440"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19" w:history="1">
        <w:r w:rsidR="00F247CB" w:rsidRPr="000E2B5C">
          <w:rPr>
            <w:rStyle w:val="Hyperlink"/>
            <w:noProof/>
          </w:rPr>
          <w:t>8.</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Implementation Process</w:t>
        </w:r>
        <w:r w:rsidR="00F247CB">
          <w:rPr>
            <w:noProof/>
            <w:webHidden/>
          </w:rPr>
          <w:tab/>
        </w:r>
        <w:r w:rsidR="00F247CB">
          <w:rPr>
            <w:noProof/>
            <w:webHidden/>
          </w:rPr>
          <w:fldChar w:fldCharType="begin"/>
        </w:r>
        <w:r w:rsidR="00F247CB">
          <w:rPr>
            <w:noProof/>
            <w:webHidden/>
          </w:rPr>
          <w:instrText xml:space="preserve"> PAGEREF _Toc67480419 \h </w:instrText>
        </w:r>
        <w:r w:rsidR="00F247CB">
          <w:rPr>
            <w:noProof/>
            <w:webHidden/>
          </w:rPr>
        </w:r>
        <w:r w:rsidR="00F247CB">
          <w:rPr>
            <w:noProof/>
            <w:webHidden/>
          </w:rPr>
          <w:fldChar w:fldCharType="separate"/>
        </w:r>
        <w:r w:rsidR="005D649B">
          <w:rPr>
            <w:noProof/>
            <w:webHidden/>
          </w:rPr>
          <w:t>7</w:t>
        </w:r>
        <w:r w:rsidR="00F247CB">
          <w:rPr>
            <w:noProof/>
            <w:webHidden/>
          </w:rPr>
          <w:fldChar w:fldCharType="end"/>
        </w:r>
      </w:hyperlink>
    </w:p>
    <w:p w14:paraId="3E99F5A2" w14:textId="53252C38" w:rsidR="00F247CB" w:rsidRDefault="00886C96">
      <w:pPr>
        <w:pStyle w:val="TOC1"/>
        <w:tabs>
          <w:tab w:val="left" w:pos="440"/>
          <w:tab w:val="right" w:leader="dot" w:pos="8721"/>
        </w:tabs>
        <w:rPr>
          <w:rFonts w:asciiTheme="minorHAnsi" w:eastAsiaTheme="minorEastAsia" w:hAnsiTheme="minorHAnsi" w:cstheme="minorBidi"/>
          <w:i w:val="0"/>
          <w:noProof/>
          <w:sz w:val="22"/>
          <w:szCs w:val="22"/>
          <w:lang w:val="en-AU" w:eastAsia="en-AU"/>
        </w:rPr>
      </w:pPr>
      <w:hyperlink w:anchor="_Toc67480420" w:history="1">
        <w:r w:rsidR="00F247CB" w:rsidRPr="000E2B5C">
          <w:rPr>
            <w:rStyle w:val="Hyperlink"/>
            <w:noProof/>
          </w:rPr>
          <w:t>9.</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Volunteer Recruitment and Selection for Projects</w:t>
        </w:r>
        <w:r w:rsidR="00F247CB">
          <w:rPr>
            <w:noProof/>
            <w:webHidden/>
          </w:rPr>
          <w:tab/>
        </w:r>
        <w:r w:rsidR="00F247CB">
          <w:rPr>
            <w:noProof/>
            <w:webHidden/>
          </w:rPr>
          <w:fldChar w:fldCharType="begin"/>
        </w:r>
        <w:r w:rsidR="00F247CB">
          <w:rPr>
            <w:noProof/>
            <w:webHidden/>
          </w:rPr>
          <w:instrText xml:space="preserve"> PAGEREF _Toc67480420 \h </w:instrText>
        </w:r>
        <w:r w:rsidR="00F247CB">
          <w:rPr>
            <w:noProof/>
            <w:webHidden/>
          </w:rPr>
        </w:r>
        <w:r w:rsidR="00F247CB">
          <w:rPr>
            <w:noProof/>
            <w:webHidden/>
          </w:rPr>
          <w:fldChar w:fldCharType="separate"/>
        </w:r>
        <w:r w:rsidR="005D649B">
          <w:rPr>
            <w:noProof/>
            <w:webHidden/>
          </w:rPr>
          <w:t>7</w:t>
        </w:r>
        <w:r w:rsidR="00F247CB">
          <w:rPr>
            <w:noProof/>
            <w:webHidden/>
          </w:rPr>
          <w:fldChar w:fldCharType="end"/>
        </w:r>
      </w:hyperlink>
    </w:p>
    <w:p w14:paraId="33710B70" w14:textId="2580A43A"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1" w:history="1">
        <w:r w:rsidR="00F247CB" w:rsidRPr="000E2B5C">
          <w:rPr>
            <w:rStyle w:val="Hyperlink"/>
            <w:noProof/>
          </w:rPr>
          <w:t>10.</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Volunteer Documentation</w:t>
        </w:r>
        <w:r w:rsidR="00F247CB">
          <w:rPr>
            <w:noProof/>
            <w:webHidden/>
          </w:rPr>
          <w:tab/>
        </w:r>
        <w:r w:rsidR="00F247CB">
          <w:rPr>
            <w:noProof/>
            <w:webHidden/>
          </w:rPr>
          <w:fldChar w:fldCharType="begin"/>
        </w:r>
        <w:r w:rsidR="00F247CB">
          <w:rPr>
            <w:noProof/>
            <w:webHidden/>
          </w:rPr>
          <w:instrText xml:space="preserve"> PAGEREF _Toc67480421 \h </w:instrText>
        </w:r>
        <w:r w:rsidR="00F247CB">
          <w:rPr>
            <w:noProof/>
            <w:webHidden/>
          </w:rPr>
        </w:r>
        <w:r w:rsidR="00F247CB">
          <w:rPr>
            <w:noProof/>
            <w:webHidden/>
          </w:rPr>
          <w:fldChar w:fldCharType="separate"/>
        </w:r>
        <w:r w:rsidR="005D649B">
          <w:rPr>
            <w:noProof/>
            <w:webHidden/>
          </w:rPr>
          <w:t>8</w:t>
        </w:r>
        <w:r w:rsidR="00F247CB">
          <w:rPr>
            <w:noProof/>
            <w:webHidden/>
          </w:rPr>
          <w:fldChar w:fldCharType="end"/>
        </w:r>
      </w:hyperlink>
    </w:p>
    <w:p w14:paraId="12D09B63" w14:textId="493EECF4"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2" w:history="1">
        <w:r w:rsidR="00F247CB" w:rsidRPr="000E2B5C">
          <w:rPr>
            <w:rStyle w:val="Hyperlink"/>
            <w:noProof/>
          </w:rPr>
          <w:t>11.</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Performance Review</w:t>
        </w:r>
        <w:r w:rsidR="00F247CB">
          <w:rPr>
            <w:noProof/>
            <w:webHidden/>
          </w:rPr>
          <w:tab/>
        </w:r>
        <w:r w:rsidR="00F247CB">
          <w:rPr>
            <w:noProof/>
            <w:webHidden/>
          </w:rPr>
          <w:fldChar w:fldCharType="begin"/>
        </w:r>
        <w:r w:rsidR="00F247CB">
          <w:rPr>
            <w:noProof/>
            <w:webHidden/>
          </w:rPr>
          <w:instrText xml:space="preserve"> PAGEREF _Toc67480422 \h </w:instrText>
        </w:r>
        <w:r w:rsidR="00F247CB">
          <w:rPr>
            <w:noProof/>
            <w:webHidden/>
          </w:rPr>
        </w:r>
        <w:r w:rsidR="00F247CB">
          <w:rPr>
            <w:noProof/>
            <w:webHidden/>
          </w:rPr>
          <w:fldChar w:fldCharType="separate"/>
        </w:r>
        <w:r w:rsidR="005D649B">
          <w:rPr>
            <w:noProof/>
            <w:webHidden/>
          </w:rPr>
          <w:t>9</w:t>
        </w:r>
        <w:r w:rsidR="00F247CB">
          <w:rPr>
            <w:noProof/>
            <w:webHidden/>
          </w:rPr>
          <w:fldChar w:fldCharType="end"/>
        </w:r>
      </w:hyperlink>
    </w:p>
    <w:p w14:paraId="67E5D451" w14:textId="5427AC19"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3" w:history="1">
        <w:r w:rsidR="00F247CB" w:rsidRPr="000E2B5C">
          <w:rPr>
            <w:rStyle w:val="Hyperlink"/>
            <w:noProof/>
          </w:rPr>
          <w:t>12.</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Termination of Agreements</w:t>
        </w:r>
        <w:r w:rsidR="00F247CB">
          <w:rPr>
            <w:noProof/>
            <w:webHidden/>
          </w:rPr>
          <w:tab/>
        </w:r>
        <w:r w:rsidR="00F247CB">
          <w:rPr>
            <w:noProof/>
            <w:webHidden/>
          </w:rPr>
          <w:fldChar w:fldCharType="begin"/>
        </w:r>
        <w:r w:rsidR="00F247CB">
          <w:rPr>
            <w:noProof/>
            <w:webHidden/>
          </w:rPr>
          <w:instrText xml:space="preserve"> PAGEREF _Toc67480423 \h </w:instrText>
        </w:r>
        <w:r w:rsidR="00F247CB">
          <w:rPr>
            <w:noProof/>
            <w:webHidden/>
          </w:rPr>
        </w:r>
        <w:r w:rsidR="00F247CB">
          <w:rPr>
            <w:noProof/>
            <w:webHidden/>
          </w:rPr>
          <w:fldChar w:fldCharType="separate"/>
        </w:r>
        <w:r w:rsidR="005D649B">
          <w:rPr>
            <w:noProof/>
            <w:webHidden/>
          </w:rPr>
          <w:t>9</w:t>
        </w:r>
        <w:r w:rsidR="00F247CB">
          <w:rPr>
            <w:noProof/>
            <w:webHidden/>
          </w:rPr>
          <w:fldChar w:fldCharType="end"/>
        </w:r>
      </w:hyperlink>
    </w:p>
    <w:p w14:paraId="770F1FD5" w14:textId="52B52966"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4" w:history="1">
        <w:r w:rsidR="00F247CB" w:rsidRPr="000E2B5C">
          <w:rPr>
            <w:rStyle w:val="Hyperlink"/>
            <w:noProof/>
          </w:rPr>
          <w:t>13.</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Volunteer Conditions</w:t>
        </w:r>
        <w:r w:rsidR="00F247CB">
          <w:rPr>
            <w:noProof/>
            <w:webHidden/>
          </w:rPr>
          <w:tab/>
        </w:r>
        <w:r w:rsidR="00F247CB">
          <w:rPr>
            <w:noProof/>
            <w:webHidden/>
          </w:rPr>
          <w:fldChar w:fldCharType="begin"/>
        </w:r>
        <w:r w:rsidR="00F247CB">
          <w:rPr>
            <w:noProof/>
            <w:webHidden/>
          </w:rPr>
          <w:instrText xml:space="preserve"> PAGEREF _Toc67480424 \h </w:instrText>
        </w:r>
        <w:r w:rsidR="00F247CB">
          <w:rPr>
            <w:noProof/>
            <w:webHidden/>
          </w:rPr>
        </w:r>
        <w:r w:rsidR="00F247CB">
          <w:rPr>
            <w:noProof/>
            <w:webHidden/>
          </w:rPr>
          <w:fldChar w:fldCharType="separate"/>
        </w:r>
        <w:r w:rsidR="005D649B">
          <w:rPr>
            <w:noProof/>
            <w:webHidden/>
          </w:rPr>
          <w:t>10</w:t>
        </w:r>
        <w:r w:rsidR="00F247CB">
          <w:rPr>
            <w:noProof/>
            <w:webHidden/>
          </w:rPr>
          <w:fldChar w:fldCharType="end"/>
        </w:r>
      </w:hyperlink>
    </w:p>
    <w:p w14:paraId="1A452A9D" w14:textId="0FB903D0"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5" w:history="1">
        <w:r w:rsidR="00F247CB" w:rsidRPr="000E2B5C">
          <w:rPr>
            <w:rStyle w:val="Hyperlink"/>
            <w:noProof/>
          </w:rPr>
          <w:t>14.</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Work Health and Safety Compliance</w:t>
        </w:r>
        <w:r w:rsidR="00F247CB">
          <w:rPr>
            <w:noProof/>
            <w:webHidden/>
          </w:rPr>
          <w:tab/>
        </w:r>
        <w:r w:rsidR="00F247CB">
          <w:rPr>
            <w:noProof/>
            <w:webHidden/>
          </w:rPr>
          <w:fldChar w:fldCharType="begin"/>
        </w:r>
        <w:r w:rsidR="00F247CB">
          <w:rPr>
            <w:noProof/>
            <w:webHidden/>
          </w:rPr>
          <w:instrText xml:space="preserve"> PAGEREF _Toc67480425 \h </w:instrText>
        </w:r>
        <w:r w:rsidR="00F247CB">
          <w:rPr>
            <w:noProof/>
            <w:webHidden/>
          </w:rPr>
        </w:r>
        <w:r w:rsidR="00F247CB">
          <w:rPr>
            <w:noProof/>
            <w:webHidden/>
          </w:rPr>
          <w:fldChar w:fldCharType="separate"/>
        </w:r>
        <w:r w:rsidR="005D649B">
          <w:rPr>
            <w:noProof/>
            <w:webHidden/>
          </w:rPr>
          <w:t>11</w:t>
        </w:r>
        <w:r w:rsidR="00F247CB">
          <w:rPr>
            <w:noProof/>
            <w:webHidden/>
          </w:rPr>
          <w:fldChar w:fldCharType="end"/>
        </w:r>
      </w:hyperlink>
    </w:p>
    <w:p w14:paraId="6A8082CD" w14:textId="266AD934"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6" w:history="1">
        <w:r w:rsidR="00F247CB" w:rsidRPr="000E2B5C">
          <w:rPr>
            <w:rStyle w:val="Hyperlink"/>
            <w:noProof/>
          </w:rPr>
          <w:t>15.</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Work Health and Safety Risk Management</w:t>
        </w:r>
        <w:r w:rsidR="00F247CB">
          <w:rPr>
            <w:noProof/>
            <w:webHidden/>
          </w:rPr>
          <w:tab/>
        </w:r>
        <w:r w:rsidR="00F247CB">
          <w:rPr>
            <w:noProof/>
            <w:webHidden/>
          </w:rPr>
          <w:fldChar w:fldCharType="begin"/>
        </w:r>
        <w:r w:rsidR="00F247CB">
          <w:rPr>
            <w:noProof/>
            <w:webHidden/>
          </w:rPr>
          <w:instrText xml:space="preserve"> PAGEREF _Toc67480426 \h </w:instrText>
        </w:r>
        <w:r w:rsidR="00F247CB">
          <w:rPr>
            <w:noProof/>
            <w:webHidden/>
          </w:rPr>
        </w:r>
        <w:r w:rsidR="00F247CB">
          <w:rPr>
            <w:noProof/>
            <w:webHidden/>
          </w:rPr>
          <w:fldChar w:fldCharType="separate"/>
        </w:r>
        <w:r w:rsidR="005D649B">
          <w:rPr>
            <w:noProof/>
            <w:webHidden/>
          </w:rPr>
          <w:t>12</w:t>
        </w:r>
        <w:r w:rsidR="00F247CB">
          <w:rPr>
            <w:noProof/>
            <w:webHidden/>
          </w:rPr>
          <w:fldChar w:fldCharType="end"/>
        </w:r>
      </w:hyperlink>
    </w:p>
    <w:p w14:paraId="5F26F466" w14:textId="72CB310D"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7" w:history="1">
        <w:r w:rsidR="00F247CB" w:rsidRPr="000E2B5C">
          <w:rPr>
            <w:rStyle w:val="Hyperlink"/>
            <w:noProof/>
          </w:rPr>
          <w:t>16.</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Review and Consultation</w:t>
        </w:r>
        <w:r w:rsidR="00F247CB">
          <w:rPr>
            <w:noProof/>
            <w:webHidden/>
          </w:rPr>
          <w:tab/>
        </w:r>
        <w:r w:rsidR="00F247CB">
          <w:rPr>
            <w:noProof/>
            <w:webHidden/>
          </w:rPr>
          <w:fldChar w:fldCharType="begin"/>
        </w:r>
        <w:r w:rsidR="00F247CB">
          <w:rPr>
            <w:noProof/>
            <w:webHidden/>
          </w:rPr>
          <w:instrText xml:space="preserve"> PAGEREF _Toc67480427 \h </w:instrText>
        </w:r>
        <w:r w:rsidR="00F247CB">
          <w:rPr>
            <w:noProof/>
            <w:webHidden/>
          </w:rPr>
        </w:r>
        <w:r w:rsidR="00F247CB">
          <w:rPr>
            <w:noProof/>
            <w:webHidden/>
          </w:rPr>
          <w:fldChar w:fldCharType="separate"/>
        </w:r>
        <w:r w:rsidR="005D649B">
          <w:rPr>
            <w:noProof/>
            <w:webHidden/>
          </w:rPr>
          <w:t>12</w:t>
        </w:r>
        <w:r w:rsidR="00F247CB">
          <w:rPr>
            <w:noProof/>
            <w:webHidden/>
          </w:rPr>
          <w:fldChar w:fldCharType="end"/>
        </w:r>
      </w:hyperlink>
    </w:p>
    <w:p w14:paraId="747AC58B" w14:textId="2688020C" w:rsidR="00F247CB" w:rsidRDefault="00886C96">
      <w:pPr>
        <w:pStyle w:val="TOC1"/>
        <w:tabs>
          <w:tab w:val="left" w:pos="660"/>
          <w:tab w:val="right" w:leader="dot" w:pos="8721"/>
        </w:tabs>
        <w:rPr>
          <w:rFonts w:asciiTheme="minorHAnsi" w:eastAsiaTheme="minorEastAsia" w:hAnsiTheme="minorHAnsi" w:cstheme="minorBidi"/>
          <w:i w:val="0"/>
          <w:noProof/>
          <w:sz w:val="22"/>
          <w:szCs w:val="22"/>
          <w:lang w:val="en-AU" w:eastAsia="en-AU"/>
        </w:rPr>
      </w:pPr>
      <w:hyperlink w:anchor="_Toc67480428" w:history="1">
        <w:r w:rsidR="00F247CB" w:rsidRPr="000E2B5C">
          <w:rPr>
            <w:rStyle w:val="Hyperlink"/>
            <w:noProof/>
          </w:rPr>
          <w:t>17.</w:t>
        </w:r>
        <w:r w:rsidR="00F247CB">
          <w:rPr>
            <w:rFonts w:asciiTheme="minorHAnsi" w:eastAsiaTheme="minorEastAsia" w:hAnsiTheme="minorHAnsi" w:cstheme="minorBidi"/>
            <w:i w:val="0"/>
            <w:noProof/>
            <w:sz w:val="22"/>
            <w:szCs w:val="22"/>
            <w:lang w:val="en-AU" w:eastAsia="en-AU"/>
          </w:rPr>
          <w:tab/>
        </w:r>
        <w:r w:rsidR="00F247CB" w:rsidRPr="000E2B5C">
          <w:rPr>
            <w:rStyle w:val="Hyperlink"/>
            <w:noProof/>
          </w:rPr>
          <w:t>References and related documents</w:t>
        </w:r>
        <w:r w:rsidR="00F247CB">
          <w:rPr>
            <w:noProof/>
            <w:webHidden/>
          </w:rPr>
          <w:tab/>
        </w:r>
        <w:r w:rsidR="00F247CB">
          <w:rPr>
            <w:noProof/>
            <w:webHidden/>
          </w:rPr>
          <w:fldChar w:fldCharType="begin"/>
        </w:r>
        <w:r w:rsidR="00F247CB">
          <w:rPr>
            <w:noProof/>
            <w:webHidden/>
          </w:rPr>
          <w:instrText xml:space="preserve"> PAGEREF _Toc67480428 \h </w:instrText>
        </w:r>
        <w:r w:rsidR="00F247CB">
          <w:rPr>
            <w:noProof/>
            <w:webHidden/>
          </w:rPr>
        </w:r>
        <w:r w:rsidR="00F247CB">
          <w:rPr>
            <w:noProof/>
            <w:webHidden/>
          </w:rPr>
          <w:fldChar w:fldCharType="separate"/>
        </w:r>
        <w:r w:rsidR="005D649B">
          <w:rPr>
            <w:noProof/>
            <w:webHidden/>
          </w:rPr>
          <w:t>12</w:t>
        </w:r>
        <w:r w:rsidR="00F247CB">
          <w:rPr>
            <w:noProof/>
            <w:webHidden/>
          </w:rPr>
          <w:fldChar w:fldCharType="end"/>
        </w:r>
      </w:hyperlink>
    </w:p>
    <w:p w14:paraId="5433ECEE" w14:textId="77777777" w:rsidR="007B4ADB" w:rsidRDefault="00280CBE" w:rsidP="00280CBE">
      <w:pPr>
        <w:pStyle w:val="BodyText"/>
        <w:rPr>
          <w:b/>
        </w:rPr>
      </w:pPr>
      <w:r>
        <w:rPr>
          <w:b/>
          <w:bCs/>
          <w:i/>
        </w:rPr>
        <w:fldChar w:fldCharType="end"/>
      </w:r>
    </w:p>
    <w:p w14:paraId="6715380E" w14:textId="77777777" w:rsidR="007B4ADB" w:rsidRDefault="007B4ADB">
      <w:pPr>
        <w:spacing w:after="200" w:line="0" w:lineRule="auto"/>
        <w:rPr>
          <w:b/>
        </w:rPr>
      </w:pPr>
      <w:r>
        <w:rPr>
          <w:b/>
        </w:rPr>
        <w:br w:type="page"/>
      </w:r>
    </w:p>
    <w:p w14:paraId="341469DF" w14:textId="77777777" w:rsidR="00500EB5" w:rsidRPr="00B93E30" w:rsidRDefault="00963AE3" w:rsidP="0086306B">
      <w:pPr>
        <w:pStyle w:val="Heading1"/>
        <w:keepLines w:val="0"/>
        <w:numPr>
          <w:ilvl w:val="0"/>
          <w:numId w:val="8"/>
        </w:numPr>
        <w:ind w:left="709" w:hanging="709"/>
        <w:rPr>
          <w:sz w:val="36"/>
          <w:szCs w:val="36"/>
        </w:rPr>
      </w:pPr>
      <w:bookmarkStart w:id="3" w:name="_Toc67480412"/>
      <w:r w:rsidRPr="00B93E30">
        <w:rPr>
          <w:sz w:val="36"/>
          <w:szCs w:val="36"/>
        </w:rPr>
        <w:lastRenderedPageBreak/>
        <w:t>Introduction</w:t>
      </w:r>
      <w:bookmarkEnd w:id="3"/>
    </w:p>
    <w:p w14:paraId="0E2E625C" w14:textId="40DB09BE" w:rsidR="00E00A18" w:rsidRPr="00D367AC" w:rsidRDefault="00D367AC" w:rsidP="003D6294">
      <w:pPr>
        <w:pStyle w:val="Content1"/>
        <w:ind w:hanging="720"/>
      </w:pPr>
      <w:r>
        <w:rPr>
          <w:rFonts w:cs="Arial"/>
          <w:color w:val="111111"/>
          <w:spacing w:val="2"/>
          <w:szCs w:val="20"/>
          <w:shd w:val="clear" w:color="auto" w:fill="FFFFFF"/>
        </w:rPr>
        <w:t xml:space="preserve">The Volunteer Program at the National Library of Australia (the Library) has </w:t>
      </w:r>
      <w:r w:rsidRPr="00A03A23">
        <w:rPr>
          <w:rFonts w:cs="Arial"/>
          <w:color w:val="111111"/>
          <w:spacing w:val="2"/>
          <w:szCs w:val="20"/>
          <w:shd w:val="clear" w:color="auto" w:fill="FFFFFF"/>
        </w:rPr>
        <w:t xml:space="preserve">been operating </w:t>
      </w:r>
      <w:r>
        <w:rPr>
          <w:rFonts w:cs="Arial"/>
          <w:color w:val="111111"/>
          <w:spacing w:val="2"/>
          <w:szCs w:val="20"/>
          <w:shd w:val="clear" w:color="auto" w:fill="FFFFFF"/>
        </w:rPr>
        <w:t>since 1989. The program offers the community an opportunity to play an active role in supporting and promoting the work of the Library. The Library values the important contribution that volunteers make, through Front-of-House and Behind-the-Scenes volunteer projects.</w:t>
      </w:r>
    </w:p>
    <w:p w14:paraId="2E119265" w14:textId="5B95372B" w:rsidR="00D367AC" w:rsidRPr="00D367AC" w:rsidRDefault="00D367AC" w:rsidP="003D6294">
      <w:pPr>
        <w:pStyle w:val="Content1"/>
        <w:ind w:hanging="720"/>
      </w:pPr>
      <w:r w:rsidRPr="00314EFD">
        <w:rPr>
          <w:rFonts w:cs="Arial"/>
          <w:color w:val="111111"/>
          <w:spacing w:val="2"/>
          <w:szCs w:val="20"/>
          <w:shd w:val="clear" w:color="auto" w:fill="FFFFFF"/>
        </w:rPr>
        <w:t>The Library engages volunteers in tasks that, without their assistance, would not be undertaken or would not be completed for a considerable period of time. Volunteers are not used as an alternative to paid employment or to displace paid staff</w:t>
      </w:r>
      <w:r>
        <w:rPr>
          <w:rFonts w:cs="Arial"/>
          <w:color w:val="111111"/>
          <w:spacing w:val="2"/>
          <w:szCs w:val="20"/>
          <w:shd w:val="clear" w:color="auto" w:fill="FFFFFF"/>
        </w:rPr>
        <w:t xml:space="preserve">. </w:t>
      </w:r>
    </w:p>
    <w:p w14:paraId="06726509" w14:textId="4CDCE4DF" w:rsidR="00D367AC" w:rsidRPr="00D367AC" w:rsidRDefault="00D367AC" w:rsidP="003D6294">
      <w:pPr>
        <w:pStyle w:val="Content1"/>
        <w:ind w:hanging="720"/>
      </w:pPr>
      <w:r w:rsidRPr="00314EFD">
        <w:rPr>
          <w:rFonts w:cs="Arial"/>
          <w:color w:val="111111"/>
          <w:spacing w:val="2"/>
          <w:szCs w:val="20"/>
          <w:shd w:val="clear" w:color="auto" w:fill="FFFFFF"/>
        </w:rPr>
        <w:t>Volunteers engaged to participate in the volunteer program play an important role in supporting the Library to achieve its strategic goals, and enhance its programs and projects by complementing the skills and resources of staff</w:t>
      </w:r>
      <w:r>
        <w:rPr>
          <w:rFonts w:cs="Arial"/>
          <w:color w:val="111111"/>
          <w:spacing w:val="2"/>
          <w:szCs w:val="20"/>
          <w:shd w:val="clear" w:color="auto" w:fill="FFFFFF"/>
        </w:rPr>
        <w:t xml:space="preserve">. </w:t>
      </w:r>
    </w:p>
    <w:p w14:paraId="51452224" w14:textId="7D594C0A" w:rsidR="00D367AC" w:rsidRPr="00D367AC" w:rsidRDefault="00D367AC" w:rsidP="003D6294">
      <w:pPr>
        <w:pStyle w:val="Content1"/>
        <w:ind w:hanging="720"/>
      </w:pPr>
      <w:r w:rsidRPr="00314EFD">
        <w:rPr>
          <w:rFonts w:cs="Arial"/>
          <w:color w:val="111111"/>
          <w:spacing w:val="2"/>
          <w:szCs w:val="20"/>
          <w:shd w:val="clear" w:color="auto" w:fill="FFFFFF"/>
        </w:rPr>
        <w:t>The Library recognises the important role digital volunteers also play in supporting the Library however this policy does not cover digital volunteering</w:t>
      </w:r>
      <w:r w:rsidR="00A84EDD">
        <w:rPr>
          <w:rFonts w:cs="Arial"/>
          <w:color w:val="111111"/>
          <w:spacing w:val="2"/>
          <w:szCs w:val="20"/>
          <w:shd w:val="clear" w:color="auto" w:fill="FFFFFF"/>
        </w:rPr>
        <w:t>.</w:t>
      </w:r>
    </w:p>
    <w:p w14:paraId="09E3FF80" w14:textId="77777777" w:rsidR="00D367AC" w:rsidRPr="00B93E30" w:rsidRDefault="00D367AC" w:rsidP="00D367AC">
      <w:pPr>
        <w:pStyle w:val="Content1"/>
        <w:numPr>
          <w:ilvl w:val="0"/>
          <w:numId w:val="0"/>
        </w:numPr>
        <w:ind w:left="720"/>
      </w:pPr>
    </w:p>
    <w:p w14:paraId="24802ECD" w14:textId="01C97749" w:rsidR="00963AE3" w:rsidRPr="00B93E30" w:rsidRDefault="003D6294" w:rsidP="0086306B">
      <w:pPr>
        <w:pStyle w:val="Heading1"/>
        <w:keepLines w:val="0"/>
        <w:numPr>
          <w:ilvl w:val="0"/>
          <w:numId w:val="8"/>
        </w:numPr>
        <w:ind w:left="709" w:hanging="709"/>
        <w:rPr>
          <w:sz w:val="36"/>
          <w:szCs w:val="36"/>
        </w:rPr>
      </w:pPr>
      <w:bookmarkStart w:id="4" w:name="_Toc67480413"/>
      <w:r>
        <w:rPr>
          <w:sz w:val="36"/>
          <w:szCs w:val="36"/>
        </w:rPr>
        <w:t>Policy Purpose</w:t>
      </w:r>
      <w:bookmarkEnd w:id="4"/>
    </w:p>
    <w:p w14:paraId="64903DF8" w14:textId="65C70E7F" w:rsidR="00500EB5" w:rsidRDefault="003D6294" w:rsidP="003D6294">
      <w:pPr>
        <w:pStyle w:val="Content1"/>
        <w:ind w:hanging="720"/>
      </w:pPr>
      <w:r>
        <w:t>The purpose of this policy is t</w:t>
      </w:r>
      <w:r w:rsidR="00D367AC">
        <w:t>o set out a framework for the management and implementation of the Library’s Volunteer Program</w:t>
      </w:r>
      <w:r w:rsidR="00A84EDD">
        <w:t>.</w:t>
      </w:r>
    </w:p>
    <w:p w14:paraId="6D676810" w14:textId="2E3BA74F" w:rsidR="00D367AC" w:rsidRDefault="00877FA9" w:rsidP="0086306B">
      <w:pPr>
        <w:pStyle w:val="Heading1"/>
        <w:keepLines w:val="0"/>
        <w:numPr>
          <w:ilvl w:val="0"/>
          <w:numId w:val="8"/>
        </w:numPr>
        <w:ind w:left="709" w:hanging="709"/>
        <w:rPr>
          <w:sz w:val="36"/>
          <w:szCs w:val="36"/>
        </w:rPr>
      </w:pPr>
      <w:bookmarkStart w:id="5" w:name="_Toc67480414"/>
      <w:r w:rsidRPr="00B93E30">
        <w:rPr>
          <w:sz w:val="36"/>
          <w:szCs w:val="36"/>
        </w:rPr>
        <w:t>Policy Aims</w:t>
      </w:r>
      <w:bookmarkEnd w:id="5"/>
      <w:r>
        <w:rPr>
          <w:sz w:val="36"/>
          <w:szCs w:val="36"/>
        </w:rPr>
        <w:t xml:space="preserve"> </w:t>
      </w:r>
    </w:p>
    <w:p w14:paraId="1D0DF11D" w14:textId="77777777" w:rsidR="00D367AC" w:rsidRPr="00D367AC" w:rsidRDefault="00D367AC" w:rsidP="00D367AC">
      <w:pPr>
        <w:pStyle w:val="BodyText"/>
      </w:pPr>
    </w:p>
    <w:p w14:paraId="5EC68E9B" w14:textId="01BA1C0E" w:rsidR="00D367AC" w:rsidRDefault="00D367AC" w:rsidP="00D367AC">
      <w:pPr>
        <w:pStyle w:val="Content1"/>
        <w:ind w:hanging="720"/>
      </w:pPr>
      <w:r>
        <w:t>To develop a vibrant Volunteer Program based on the changing needs of the Library, its collection and the skills of volunteers, in accordance with:</w:t>
      </w:r>
    </w:p>
    <w:p w14:paraId="0259C533" w14:textId="77777777" w:rsidR="00D367AC" w:rsidRDefault="00D367AC" w:rsidP="0086306B">
      <w:pPr>
        <w:pStyle w:val="Content1"/>
        <w:numPr>
          <w:ilvl w:val="0"/>
          <w:numId w:val="12"/>
        </w:numPr>
        <w:spacing w:before="0" w:after="0"/>
      </w:pPr>
      <w:r>
        <w:t xml:space="preserve">APS Values and APS Code of Conduct as defined in the Public Service Act 1999; </w:t>
      </w:r>
    </w:p>
    <w:p w14:paraId="48EEF6CA" w14:textId="77777777" w:rsidR="00D367AC" w:rsidRDefault="00D367AC" w:rsidP="0086306B">
      <w:pPr>
        <w:pStyle w:val="Content1"/>
        <w:numPr>
          <w:ilvl w:val="0"/>
          <w:numId w:val="12"/>
        </w:numPr>
        <w:spacing w:before="0" w:after="0"/>
      </w:pPr>
      <w:r>
        <w:t>Volunteering ACT and the standards and practice of the national peak body, Volunteering Australia</w:t>
      </w:r>
    </w:p>
    <w:p w14:paraId="127E853F" w14:textId="77777777" w:rsidR="00D367AC" w:rsidRDefault="00D367AC" w:rsidP="0086306B">
      <w:pPr>
        <w:pStyle w:val="Content1"/>
        <w:numPr>
          <w:ilvl w:val="0"/>
          <w:numId w:val="12"/>
        </w:numPr>
        <w:spacing w:before="0" w:after="0"/>
      </w:pPr>
      <w:r>
        <w:t>Work Health and Safety Act 2011</w:t>
      </w:r>
    </w:p>
    <w:p w14:paraId="58D42E9E" w14:textId="678AA814" w:rsidR="00D367AC" w:rsidRDefault="00D367AC" w:rsidP="00D367AC">
      <w:pPr>
        <w:pStyle w:val="BodyText"/>
      </w:pPr>
    </w:p>
    <w:p w14:paraId="4D5EE680" w14:textId="77777777" w:rsidR="000C7414" w:rsidRPr="00D367AC" w:rsidRDefault="000C7414" w:rsidP="00D367AC">
      <w:pPr>
        <w:pStyle w:val="BodyText"/>
      </w:pPr>
    </w:p>
    <w:p w14:paraId="623B4EC6" w14:textId="7BBCE071" w:rsidR="00963AE3" w:rsidRDefault="00963AE3" w:rsidP="0086306B">
      <w:pPr>
        <w:pStyle w:val="Heading1"/>
        <w:keepLines w:val="0"/>
        <w:numPr>
          <w:ilvl w:val="0"/>
          <w:numId w:val="8"/>
        </w:numPr>
        <w:ind w:left="709" w:hanging="709"/>
        <w:rPr>
          <w:sz w:val="36"/>
          <w:szCs w:val="36"/>
        </w:rPr>
      </w:pPr>
      <w:bookmarkStart w:id="6" w:name="_Toc67480415"/>
      <w:r w:rsidRPr="00B93E30">
        <w:rPr>
          <w:sz w:val="36"/>
          <w:szCs w:val="36"/>
        </w:rPr>
        <w:t>Definitions</w:t>
      </w:r>
      <w:bookmarkEnd w:id="6"/>
    </w:p>
    <w:p w14:paraId="1849E92F" w14:textId="77777777" w:rsidR="00C94AB1" w:rsidRDefault="00C94AB1" w:rsidP="00C94AB1">
      <w:pPr>
        <w:pStyle w:val="BodyText"/>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117"/>
        <w:gridCol w:w="6530"/>
        <w:gridCol w:w="84"/>
      </w:tblGrid>
      <w:tr w:rsidR="00D367AC" w:rsidRPr="00F02A4E" w14:paraId="5E5F4470" w14:textId="77777777" w:rsidTr="000C7414">
        <w:tc>
          <w:tcPr>
            <w:tcW w:w="2117" w:type="dxa"/>
          </w:tcPr>
          <w:p w14:paraId="6E85A7B1" w14:textId="77777777" w:rsidR="00D367AC" w:rsidRPr="00F02A4E" w:rsidRDefault="00D367AC" w:rsidP="000C7414">
            <w:pPr>
              <w:pStyle w:val="BodyText"/>
              <w:rPr>
                <w:b/>
              </w:rPr>
            </w:pPr>
            <w:r w:rsidRPr="00F02A4E">
              <w:rPr>
                <w:b/>
              </w:rPr>
              <w:t>Digital Volunteer</w:t>
            </w:r>
          </w:p>
        </w:tc>
        <w:tc>
          <w:tcPr>
            <w:tcW w:w="6614" w:type="dxa"/>
            <w:gridSpan w:val="2"/>
          </w:tcPr>
          <w:p w14:paraId="187F1542" w14:textId="77777777" w:rsidR="00D367AC" w:rsidRPr="00F02A4E" w:rsidRDefault="00D367AC" w:rsidP="000C7414">
            <w:pPr>
              <w:pStyle w:val="BodyText"/>
              <w:spacing w:before="120" w:after="120"/>
            </w:pPr>
            <w:r w:rsidRPr="00F02A4E">
              <w:t>A person who performs an agreed service for the Library online, or who participates in online activities which add value to the Library’s collections and services.</w:t>
            </w:r>
          </w:p>
        </w:tc>
      </w:tr>
      <w:tr w:rsidR="00D367AC" w:rsidRPr="00F02A4E" w14:paraId="19721650" w14:textId="77777777" w:rsidTr="000C7414">
        <w:tc>
          <w:tcPr>
            <w:tcW w:w="2117" w:type="dxa"/>
          </w:tcPr>
          <w:p w14:paraId="07D17720" w14:textId="190E127D" w:rsidR="00D367AC" w:rsidRPr="00F02A4E" w:rsidRDefault="00D367AC" w:rsidP="000C7414">
            <w:pPr>
              <w:pStyle w:val="BodyText"/>
              <w:rPr>
                <w:b/>
              </w:rPr>
            </w:pPr>
            <w:proofErr w:type="spellStart"/>
            <w:r w:rsidRPr="00F02A4E">
              <w:rPr>
                <w:b/>
              </w:rPr>
              <w:t>Comcover</w:t>
            </w:r>
            <w:proofErr w:type="spellEnd"/>
          </w:p>
        </w:tc>
        <w:tc>
          <w:tcPr>
            <w:tcW w:w="6614" w:type="dxa"/>
            <w:gridSpan w:val="2"/>
          </w:tcPr>
          <w:p w14:paraId="09D3B276" w14:textId="00F85F79" w:rsidR="00D367AC" w:rsidRPr="00F02A4E" w:rsidRDefault="009D17C6" w:rsidP="000C7414">
            <w:pPr>
              <w:pStyle w:val="BodyText"/>
            </w:pPr>
            <w:r>
              <w:t>T</w:t>
            </w:r>
            <w:r w:rsidRPr="005D649B">
              <w:t>he Australian Government's self-managed insurance fund</w:t>
            </w:r>
            <w:r>
              <w:t xml:space="preserve"> (refer to </w:t>
            </w:r>
            <w:hyperlink r:id="rId9" w:history="1">
              <w:r w:rsidRPr="009D17C6">
                <w:rPr>
                  <w:rStyle w:val="Hyperlink"/>
                </w:rPr>
                <w:t>Statement of Cover</w:t>
              </w:r>
            </w:hyperlink>
            <w:r>
              <w:t xml:space="preserve">) </w:t>
            </w:r>
          </w:p>
        </w:tc>
      </w:tr>
      <w:tr w:rsidR="00D367AC" w:rsidRPr="00F02A4E" w14:paraId="7239E449" w14:textId="77777777" w:rsidTr="000C7414">
        <w:tc>
          <w:tcPr>
            <w:tcW w:w="2117" w:type="dxa"/>
          </w:tcPr>
          <w:p w14:paraId="48CEAC71" w14:textId="53734912" w:rsidR="00D367AC" w:rsidRPr="00F02A4E" w:rsidRDefault="00D367AC" w:rsidP="000C7414">
            <w:pPr>
              <w:pStyle w:val="BodyText"/>
              <w:rPr>
                <w:b/>
              </w:rPr>
            </w:pPr>
          </w:p>
        </w:tc>
        <w:tc>
          <w:tcPr>
            <w:tcW w:w="6614" w:type="dxa"/>
            <w:gridSpan w:val="2"/>
          </w:tcPr>
          <w:p w14:paraId="3BBA396D" w14:textId="458F69C5" w:rsidR="00D367AC" w:rsidRPr="00F02A4E" w:rsidRDefault="00D367AC" w:rsidP="000C7414">
            <w:pPr>
              <w:pStyle w:val="BodyText"/>
              <w:rPr>
                <w:rFonts w:eastAsia="Arial Unicode MS" w:cs="Arial"/>
                <w:szCs w:val="20"/>
              </w:rPr>
            </w:pPr>
          </w:p>
        </w:tc>
      </w:tr>
      <w:tr w:rsidR="00D367AC" w:rsidRPr="00F02A4E" w14:paraId="4D7D9162" w14:textId="77777777" w:rsidTr="000C7414">
        <w:tc>
          <w:tcPr>
            <w:tcW w:w="2117" w:type="dxa"/>
          </w:tcPr>
          <w:p w14:paraId="31F7AE9F" w14:textId="77777777" w:rsidR="00D367AC" w:rsidRPr="00F02A4E" w:rsidRDefault="00D367AC" w:rsidP="000C7414">
            <w:pPr>
              <w:pStyle w:val="BodyText"/>
              <w:rPr>
                <w:b/>
              </w:rPr>
            </w:pPr>
            <w:r w:rsidRPr="00F02A4E">
              <w:rPr>
                <w:b/>
              </w:rPr>
              <w:t>Health and Safety Representatives (HSR)</w:t>
            </w:r>
          </w:p>
        </w:tc>
        <w:tc>
          <w:tcPr>
            <w:tcW w:w="6614" w:type="dxa"/>
            <w:gridSpan w:val="2"/>
          </w:tcPr>
          <w:p w14:paraId="05F2C509" w14:textId="77777777" w:rsidR="00D367AC" w:rsidRPr="00F02A4E" w:rsidRDefault="00D367AC" w:rsidP="000C7414">
            <w:pPr>
              <w:pStyle w:val="BodyText"/>
              <w:rPr>
                <w:rFonts w:eastAsia="Arial Unicode MS"/>
                <w:bCs/>
              </w:rPr>
            </w:pPr>
            <w:r w:rsidRPr="00F02A4E">
              <w:t>Health and Safety Representatives are workers elected or selected for the role, who represent the health and safety interests of workers within their workgroup and for a person conducting a business or undertaking (PCBU).</w:t>
            </w:r>
          </w:p>
        </w:tc>
      </w:tr>
      <w:tr w:rsidR="00D367AC" w:rsidRPr="00F02A4E" w14:paraId="551BD6E0" w14:textId="77777777" w:rsidTr="000C7414">
        <w:tc>
          <w:tcPr>
            <w:tcW w:w="2117" w:type="dxa"/>
          </w:tcPr>
          <w:p w14:paraId="653F2F65" w14:textId="77777777" w:rsidR="00D367AC" w:rsidRPr="00F02A4E" w:rsidRDefault="00D367AC" w:rsidP="000C7414">
            <w:pPr>
              <w:pStyle w:val="BodyText"/>
              <w:rPr>
                <w:b/>
              </w:rPr>
            </w:pPr>
            <w:r w:rsidRPr="00F02A4E">
              <w:rPr>
                <w:b/>
              </w:rPr>
              <w:t>Illness</w:t>
            </w:r>
          </w:p>
        </w:tc>
        <w:tc>
          <w:tcPr>
            <w:tcW w:w="6614" w:type="dxa"/>
            <w:gridSpan w:val="2"/>
          </w:tcPr>
          <w:p w14:paraId="440A2AE1" w14:textId="77777777" w:rsidR="00D367AC" w:rsidRPr="00F02A4E" w:rsidRDefault="00D367AC" w:rsidP="000C7414">
            <w:pPr>
              <w:pStyle w:val="BodyText"/>
              <w:rPr>
                <w:rFonts w:eastAsia="Arial Unicode MS" w:cs="Arial"/>
                <w:bCs/>
                <w:szCs w:val="20"/>
              </w:rPr>
            </w:pPr>
            <w:r w:rsidRPr="00F02A4E">
              <w:rPr>
                <w:rFonts w:eastAsia="Arial Unicode MS" w:cs="Arial"/>
                <w:bCs/>
                <w:szCs w:val="20"/>
              </w:rPr>
              <w:t>Sickness or disease.</w:t>
            </w:r>
          </w:p>
        </w:tc>
      </w:tr>
      <w:tr w:rsidR="00D367AC" w:rsidRPr="00F02A4E" w14:paraId="211DC66A" w14:textId="77777777" w:rsidTr="000C7414">
        <w:tc>
          <w:tcPr>
            <w:tcW w:w="2117" w:type="dxa"/>
          </w:tcPr>
          <w:p w14:paraId="280F20C0" w14:textId="77777777" w:rsidR="00D367AC" w:rsidRPr="00F02A4E" w:rsidRDefault="00D367AC" w:rsidP="000C7414">
            <w:pPr>
              <w:pStyle w:val="BodyText"/>
              <w:rPr>
                <w:b/>
              </w:rPr>
            </w:pPr>
            <w:r w:rsidRPr="00F02A4E">
              <w:rPr>
                <w:b/>
              </w:rPr>
              <w:t>Injury</w:t>
            </w:r>
          </w:p>
        </w:tc>
        <w:tc>
          <w:tcPr>
            <w:tcW w:w="6614" w:type="dxa"/>
            <w:gridSpan w:val="2"/>
            <w:vAlign w:val="center"/>
          </w:tcPr>
          <w:p w14:paraId="67682344" w14:textId="77777777" w:rsidR="00D367AC" w:rsidRPr="00F02A4E" w:rsidRDefault="00D367AC" w:rsidP="000C7414">
            <w:pPr>
              <w:pStyle w:val="BodyText"/>
              <w:rPr>
                <w:rFonts w:cs="Calibri"/>
                <w:color w:val="000000"/>
                <w:szCs w:val="20"/>
              </w:rPr>
            </w:pPr>
            <w:r w:rsidRPr="00F02A4E">
              <w:rPr>
                <w:rFonts w:cs="Calibri"/>
                <w:color w:val="000000"/>
                <w:szCs w:val="20"/>
              </w:rPr>
              <w:t>A disease (an ailment or the aggravation of an ailment) or a physical or mental injury (or the aggravation of an injury).</w:t>
            </w:r>
          </w:p>
        </w:tc>
      </w:tr>
      <w:tr w:rsidR="00D367AC" w:rsidRPr="00F02A4E" w14:paraId="1AE7F87F" w14:textId="77777777" w:rsidTr="000C7414">
        <w:trPr>
          <w:trHeight w:val="716"/>
        </w:trPr>
        <w:tc>
          <w:tcPr>
            <w:tcW w:w="2117" w:type="dxa"/>
          </w:tcPr>
          <w:p w14:paraId="0E519AC4" w14:textId="77777777" w:rsidR="00D367AC" w:rsidRPr="00F02A4E" w:rsidRDefault="00D367AC" w:rsidP="000C7414">
            <w:pPr>
              <w:pStyle w:val="BodyText"/>
              <w:rPr>
                <w:b/>
              </w:rPr>
            </w:pPr>
            <w:r w:rsidRPr="00F02A4E">
              <w:rPr>
                <w:b/>
              </w:rPr>
              <w:t>Officers</w:t>
            </w:r>
          </w:p>
        </w:tc>
        <w:tc>
          <w:tcPr>
            <w:tcW w:w="6614" w:type="dxa"/>
            <w:gridSpan w:val="2"/>
          </w:tcPr>
          <w:p w14:paraId="6BAB04E7" w14:textId="0DCE72C7" w:rsidR="00D367AC" w:rsidRPr="00F02A4E" w:rsidRDefault="00D367AC" w:rsidP="000C7414">
            <w:pPr>
              <w:pStyle w:val="BodyText"/>
              <w:rPr>
                <w:rFonts w:cs="Calibri"/>
                <w:color w:val="000000"/>
                <w:szCs w:val="20"/>
              </w:rPr>
            </w:pPr>
            <w:r w:rsidRPr="00F02A4E">
              <w:rPr>
                <w:rFonts w:cs="Calibri"/>
                <w:color w:val="000000"/>
                <w:szCs w:val="20"/>
              </w:rPr>
              <w:t xml:space="preserve">Per the definition of the WHS Act the Library’s Officers are Council Members, the Director-General and all </w:t>
            </w:r>
            <w:r w:rsidR="00F02A4E">
              <w:rPr>
                <w:rFonts w:cs="Calibri"/>
                <w:color w:val="000000"/>
                <w:szCs w:val="20"/>
              </w:rPr>
              <w:t xml:space="preserve">Senior Executive </w:t>
            </w:r>
            <w:r w:rsidR="001B6474">
              <w:rPr>
                <w:rFonts w:cs="Calibri"/>
                <w:color w:val="000000"/>
                <w:szCs w:val="20"/>
              </w:rPr>
              <w:t>Service (</w:t>
            </w:r>
            <w:r w:rsidR="00F02A4E">
              <w:rPr>
                <w:rFonts w:cs="Calibri"/>
                <w:color w:val="000000"/>
                <w:szCs w:val="20"/>
              </w:rPr>
              <w:t>SES</w:t>
            </w:r>
            <w:r w:rsidR="001B6474">
              <w:rPr>
                <w:rFonts w:cs="Calibri"/>
                <w:color w:val="000000"/>
                <w:szCs w:val="20"/>
              </w:rPr>
              <w:t>)</w:t>
            </w:r>
            <w:r w:rsidRPr="00F02A4E">
              <w:rPr>
                <w:rFonts w:cs="Calibri"/>
                <w:color w:val="000000"/>
                <w:szCs w:val="20"/>
              </w:rPr>
              <w:t>.</w:t>
            </w:r>
          </w:p>
        </w:tc>
      </w:tr>
      <w:tr w:rsidR="00D367AC" w:rsidRPr="00F02A4E" w14:paraId="14BE12C1" w14:textId="77777777" w:rsidTr="000C7414">
        <w:tc>
          <w:tcPr>
            <w:tcW w:w="2117" w:type="dxa"/>
          </w:tcPr>
          <w:p w14:paraId="5034ED3D" w14:textId="77777777" w:rsidR="00D367AC" w:rsidRPr="00F02A4E" w:rsidRDefault="00D367AC" w:rsidP="000C7414">
            <w:pPr>
              <w:pStyle w:val="BodyText"/>
              <w:rPr>
                <w:b/>
              </w:rPr>
            </w:pPr>
            <w:r w:rsidRPr="00F02A4E">
              <w:rPr>
                <w:b/>
              </w:rPr>
              <w:t>Person Conducting a Business (PCBU)</w:t>
            </w:r>
          </w:p>
        </w:tc>
        <w:tc>
          <w:tcPr>
            <w:tcW w:w="6614" w:type="dxa"/>
            <w:gridSpan w:val="2"/>
            <w:vAlign w:val="center"/>
          </w:tcPr>
          <w:p w14:paraId="197E137B" w14:textId="77777777" w:rsidR="00D367AC" w:rsidRPr="00F02A4E" w:rsidRDefault="00D367AC" w:rsidP="000C7414">
            <w:pPr>
              <w:pStyle w:val="BodyText"/>
              <w:rPr>
                <w:rFonts w:cs="Calibri"/>
                <w:color w:val="000000"/>
                <w:szCs w:val="20"/>
              </w:rPr>
            </w:pPr>
            <w:r w:rsidRPr="00F02A4E">
              <w:rPr>
                <w:rFonts w:cs="Arial"/>
                <w:color w:val="000000"/>
                <w:szCs w:val="20"/>
              </w:rPr>
              <w:t>A PCBU conducts a business or undertaking alone or with others. The definition of a PCBU focuses on the work arrangements and the relationships to carry out the work. In addition to employers, a PCBU can be a corporation, an association, a partnership or sole trader.</w:t>
            </w:r>
          </w:p>
        </w:tc>
      </w:tr>
      <w:tr w:rsidR="00D367AC" w:rsidRPr="00F02A4E" w14:paraId="5FB10B00" w14:textId="77777777" w:rsidTr="000C7414">
        <w:trPr>
          <w:gridAfter w:val="1"/>
          <w:wAfter w:w="84" w:type="dxa"/>
        </w:trPr>
        <w:tc>
          <w:tcPr>
            <w:tcW w:w="2117" w:type="dxa"/>
          </w:tcPr>
          <w:p w14:paraId="5AE22B03" w14:textId="77777777" w:rsidR="00D367AC" w:rsidRPr="00F02A4E" w:rsidRDefault="00D367AC" w:rsidP="000C7414">
            <w:pPr>
              <w:pStyle w:val="BodyText"/>
              <w:rPr>
                <w:b/>
              </w:rPr>
            </w:pPr>
            <w:r w:rsidRPr="00F02A4E">
              <w:rPr>
                <w:b/>
              </w:rPr>
              <w:t>Reasonably Practicable</w:t>
            </w:r>
          </w:p>
        </w:tc>
        <w:tc>
          <w:tcPr>
            <w:tcW w:w="6530" w:type="dxa"/>
            <w:vAlign w:val="center"/>
          </w:tcPr>
          <w:p w14:paraId="3198F512" w14:textId="77777777" w:rsidR="00D367AC" w:rsidRPr="00F02A4E" w:rsidRDefault="00D367AC" w:rsidP="000C7414">
            <w:pPr>
              <w:pStyle w:val="BodyText"/>
              <w:rPr>
                <w:rFonts w:cs="Arial"/>
                <w:szCs w:val="20"/>
              </w:rPr>
            </w:pPr>
            <w:r w:rsidRPr="00F02A4E">
              <w:rPr>
                <w:rFonts w:cs="Arial"/>
                <w:szCs w:val="20"/>
              </w:rPr>
              <w:t>The term ‘reasonably practicable’ means - that which is, or was at a time, reasonable action to ensure health and safety, while weighing up all relevant matters including:</w:t>
            </w:r>
          </w:p>
          <w:p w14:paraId="53FE8B5B" w14:textId="77777777" w:rsidR="00D367AC" w:rsidRPr="00F02A4E" w:rsidRDefault="00D367AC" w:rsidP="0086306B">
            <w:pPr>
              <w:pStyle w:val="BodyText"/>
              <w:numPr>
                <w:ilvl w:val="0"/>
                <w:numId w:val="13"/>
              </w:numPr>
              <w:rPr>
                <w:rFonts w:cs="Arial"/>
                <w:szCs w:val="20"/>
              </w:rPr>
            </w:pPr>
            <w:r w:rsidRPr="00F02A4E">
              <w:rPr>
                <w:rFonts w:cs="Arial"/>
                <w:szCs w:val="20"/>
              </w:rPr>
              <w:t>the likelihood of the relevant hazards or risk occurring;</w:t>
            </w:r>
          </w:p>
          <w:p w14:paraId="6734F766" w14:textId="77777777" w:rsidR="00D367AC" w:rsidRPr="00F02A4E" w:rsidRDefault="00D367AC" w:rsidP="0086306B">
            <w:pPr>
              <w:pStyle w:val="BodyText"/>
              <w:numPr>
                <w:ilvl w:val="0"/>
                <w:numId w:val="13"/>
              </w:numPr>
              <w:rPr>
                <w:rFonts w:cs="Arial"/>
                <w:szCs w:val="20"/>
              </w:rPr>
            </w:pPr>
            <w:r w:rsidRPr="00F02A4E">
              <w:rPr>
                <w:rFonts w:cs="Arial"/>
                <w:szCs w:val="20"/>
              </w:rPr>
              <w:t>the degree of harm that might result from the hazard or risk;</w:t>
            </w:r>
          </w:p>
          <w:p w14:paraId="7603FFFC" w14:textId="77777777" w:rsidR="00D367AC" w:rsidRPr="00F02A4E" w:rsidRDefault="00D367AC" w:rsidP="0086306B">
            <w:pPr>
              <w:pStyle w:val="BodyText"/>
              <w:numPr>
                <w:ilvl w:val="0"/>
                <w:numId w:val="13"/>
              </w:numPr>
              <w:rPr>
                <w:rFonts w:cs="Arial"/>
                <w:szCs w:val="20"/>
              </w:rPr>
            </w:pPr>
            <w:r w:rsidRPr="00F02A4E">
              <w:rPr>
                <w:rFonts w:cs="Arial"/>
                <w:szCs w:val="20"/>
              </w:rPr>
              <w:t>what the person knows about the hazard or risk and the ways of eliminating or minimising the risk; and</w:t>
            </w:r>
          </w:p>
          <w:p w14:paraId="12805106" w14:textId="77777777" w:rsidR="00D367AC" w:rsidRPr="00F02A4E" w:rsidRDefault="00D367AC" w:rsidP="0086306B">
            <w:pPr>
              <w:pStyle w:val="BodyText"/>
              <w:numPr>
                <w:ilvl w:val="0"/>
                <w:numId w:val="13"/>
              </w:numPr>
              <w:rPr>
                <w:rFonts w:cs="Arial"/>
                <w:color w:val="000000"/>
                <w:szCs w:val="20"/>
              </w:rPr>
            </w:pPr>
            <w:r w:rsidRPr="00F02A4E">
              <w:rPr>
                <w:rFonts w:cs="Arial"/>
                <w:szCs w:val="20"/>
              </w:rPr>
              <w:t>the availability and suitability of ways to eliminate or minimise the risk.</w:t>
            </w:r>
          </w:p>
        </w:tc>
      </w:tr>
      <w:tr w:rsidR="00D367AC" w:rsidRPr="00F02A4E" w14:paraId="1D97C8A5" w14:textId="77777777" w:rsidTr="000C7414">
        <w:tc>
          <w:tcPr>
            <w:tcW w:w="2117" w:type="dxa"/>
          </w:tcPr>
          <w:p w14:paraId="25FFE534" w14:textId="77777777" w:rsidR="00D367AC" w:rsidRPr="00F02A4E" w:rsidRDefault="00D367AC" w:rsidP="000C7414">
            <w:pPr>
              <w:pStyle w:val="BodyText"/>
              <w:rPr>
                <w:b/>
              </w:rPr>
            </w:pPr>
            <w:r w:rsidRPr="00F02A4E">
              <w:rPr>
                <w:b/>
              </w:rPr>
              <w:t>Supervisor</w:t>
            </w:r>
          </w:p>
        </w:tc>
        <w:tc>
          <w:tcPr>
            <w:tcW w:w="6614" w:type="dxa"/>
            <w:gridSpan w:val="2"/>
            <w:vAlign w:val="center"/>
          </w:tcPr>
          <w:p w14:paraId="6508CC70" w14:textId="77777777" w:rsidR="00D367AC" w:rsidRPr="00F02A4E" w:rsidRDefault="00D367AC" w:rsidP="000C7414">
            <w:pPr>
              <w:pStyle w:val="BodyText"/>
              <w:rPr>
                <w:rFonts w:cs="Calibri"/>
                <w:color w:val="000000"/>
                <w:szCs w:val="20"/>
              </w:rPr>
            </w:pPr>
            <w:r w:rsidRPr="00F02A4E">
              <w:rPr>
                <w:rFonts w:cs="Calibri"/>
                <w:color w:val="000000"/>
                <w:szCs w:val="20"/>
              </w:rPr>
              <w:t>The person whom the volunteer reports directly to and supervises the work in the conduct of their engagement.</w:t>
            </w:r>
          </w:p>
        </w:tc>
      </w:tr>
      <w:tr w:rsidR="00D367AC" w:rsidRPr="00F02A4E" w14:paraId="1180B79D" w14:textId="77777777" w:rsidTr="000C7414">
        <w:tc>
          <w:tcPr>
            <w:tcW w:w="2117" w:type="dxa"/>
          </w:tcPr>
          <w:p w14:paraId="62F92141" w14:textId="3337BECB" w:rsidR="00D367AC" w:rsidRPr="00F02A4E" w:rsidRDefault="00D367AC" w:rsidP="000C7414">
            <w:pPr>
              <w:pStyle w:val="BodyText"/>
              <w:rPr>
                <w:b/>
              </w:rPr>
            </w:pPr>
            <w:r w:rsidRPr="00F02A4E">
              <w:rPr>
                <w:b/>
              </w:rPr>
              <w:t>Coordinator</w:t>
            </w:r>
            <w:r w:rsidR="000C7414" w:rsidRPr="00F02A4E">
              <w:rPr>
                <w:b/>
              </w:rPr>
              <w:t xml:space="preserve">, Volunteer Guides </w:t>
            </w:r>
          </w:p>
        </w:tc>
        <w:tc>
          <w:tcPr>
            <w:tcW w:w="6614" w:type="dxa"/>
            <w:gridSpan w:val="2"/>
          </w:tcPr>
          <w:p w14:paraId="0A7DA71D" w14:textId="77777777" w:rsidR="00D367AC" w:rsidRPr="00F02A4E" w:rsidRDefault="00D367AC" w:rsidP="000C7414">
            <w:pPr>
              <w:pStyle w:val="BodyText"/>
              <w:rPr>
                <w:rFonts w:cs="Calibri"/>
                <w:color w:val="000000"/>
                <w:szCs w:val="20"/>
              </w:rPr>
            </w:pPr>
            <w:r w:rsidRPr="00F02A4E">
              <w:rPr>
                <w:rFonts w:cs="Calibri"/>
                <w:color w:val="000000"/>
                <w:szCs w:val="20"/>
              </w:rPr>
              <w:t>The person who administers the Volunteer Program.</w:t>
            </w:r>
          </w:p>
        </w:tc>
      </w:tr>
      <w:tr w:rsidR="00D367AC" w:rsidRPr="00F02A4E" w14:paraId="5286A848" w14:textId="77777777" w:rsidTr="000C7414">
        <w:tc>
          <w:tcPr>
            <w:tcW w:w="2117" w:type="dxa"/>
          </w:tcPr>
          <w:p w14:paraId="1210BEBB" w14:textId="77777777" w:rsidR="00D367AC" w:rsidRPr="00F02A4E" w:rsidRDefault="00D367AC" w:rsidP="000C7414">
            <w:pPr>
              <w:pStyle w:val="BodyText"/>
              <w:rPr>
                <w:b/>
              </w:rPr>
            </w:pPr>
            <w:r w:rsidRPr="00F02A4E">
              <w:rPr>
                <w:b/>
              </w:rPr>
              <w:t>Voluntary Worker</w:t>
            </w:r>
          </w:p>
        </w:tc>
        <w:tc>
          <w:tcPr>
            <w:tcW w:w="6614" w:type="dxa"/>
            <w:gridSpan w:val="2"/>
          </w:tcPr>
          <w:p w14:paraId="2771C45B" w14:textId="77777777" w:rsidR="00D367AC" w:rsidRPr="00F02A4E" w:rsidRDefault="00D367AC" w:rsidP="000C7414">
            <w:pPr>
              <w:pStyle w:val="BodyText"/>
              <w:rPr>
                <w:rFonts w:cs="Arial"/>
                <w:szCs w:val="20"/>
              </w:rPr>
            </w:pPr>
            <w:r w:rsidRPr="00F02A4E">
              <w:t>Under Work Health and Safety (WHS) law a volunteer is a person who works for an organisation without payment or financial reward (but they may receive out of pocket expenses). The law also recognises volunteers as workers. This means that the Library must provide the same protections to its volunteers as it does to its paid workers.</w:t>
            </w:r>
          </w:p>
        </w:tc>
      </w:tr>
      <w:tr w:rsidR="00D367AC" w:rsidRPr="00F02A4E" w14:paraId="474C58C6" w14:textId="77777777" w:rsidTr="000C7414">
        <w:tc>
          <w:tcPr>
            <w:tcW w:w="2117" w:type="dxa"/>
          </w:tcPr>
          <w:p w14:paraId="12F2A81A" w14:textId="77777777" w:rsidR="00D367AC" w:rsidRPr="00F02A4E" w:rsidRDefault="00D367AC" w:rsidP="000C7414">
            <w:pPr>
              <w:pStyle w:val="BodyText"/>
              <w:rPr>
                <w:b/>
              </w:rPr>
            </w:pPr>
            <w:r w:rsidRPr="00F02A4E">
              <w:rPr>
                <w:b/>
              </w:rPr>
              <w:t>Volunteer Agreement</w:t>
            </w:r>
          </w:p>
        </w:tc>
        <w:tc>
          <w:tcPr>
            <w:tcW w:w="6614" w:type="dxa"/>
            <w:gridSpan w:val="2"/>
          </w:tcPr>
          <w:p w14:paraId="0227AE0A" w14:textId="094B7609" w:rsidR="00D367AC" w:rsidRPr="00F02A4E" w:rsidRDefault="00D367AC" w:rsidP="000C7414">
            <w:pPr>
              <w:pStyle w:val="BodyText"/>
              <w:rPr>
                <w:rFonts w:eastAsia="Calibri" w:cs="Arial"/>
                <w:bCs/>
                <w:szCs w:val="20"/>
              </w:rPr>
            </w:pPr>
            <w:r w:rsidRPr="00F02A4E">
              <w:rPr>
                <w:rFonts w:eastAsia="Calibri" w:cs="Arial"/>
                <w:bCs/>
                <w:szCs w:val="20"/>
              </w:rPr>
              <w:t>A signed document between the volunteer and the responsible Branch</w:t>
            </w:r>
            <w:r w:rsidR="008806DF" w:rsidRPr="00F02A4E">
              <w:rPr>
                <w:rFonts w:eastAsia="Calibri" w:cs="Arial"/>
                <w:bCs/>
                <w:szCs w:val="20"/>
              </w:rPr>
              <w:t xml:space="preserve"> and Section</w:t>
            </w:r>
            <w:r w:rsidRPr="00F02A4E">
              <w:rPr>
                <w:rFonts w:eastAsia="Calibri" w:cs="Arial"/>
                <w:bCs/>
                <w:szCs w:val="20"/>
              </w:rPr>
              <w:t xml:space="preserve"> Head</w:t>
            </w:r>
            <w:r w:rsidR="008806DF" w:rsidRPr="00F02A4E">
              <w:rPr>
                <w:rFonts w:eastAsia="Calibri" w:cs="Arial"/>
                <w:bCs/>
                <w:szCs w:val="20"/>
              </w:rPr>
              <w:t>s</w:t>
            </w:r>
            <w:r w:rsidRPr="00F02A4E">
              <w:rPr>
                <w:rFonts w:eastAsia="Calibri" w:cs="Arial"/>
                <w:bCs/>
                <w:szCs w:val="20"/>
              </w:rPr>
              <w:t xml:space="preserve"> agreeing on the conditions of volunteering at the Library.</w:t>
            </w:r>
          </w:p>
        </w:tc>
      </w:tr>
      <w:tr w:rsidR="00D367AC" w:rsidRPr="00F02A4E" w14:paraId="1353553E" w14:textId="77777777" w:rsidTr="000C7414">
        <w:tc>
          <w:tcPr>
            <w:tcW w:w="2117" w:type="dxa"/>
          </w:tcPr>
          <w:p w14:paraId="56F6850A" w14:textId="77777777" w:rsidR="00D367AC" w:rsidRPr="00F02A4E" w:rsidRDefault="00D367AC" w:rsidP="000C7414">
            <w:pPr>
              <w:pStyle w:val="BodyText"/>
              <w:rPr>
                <w:b/>
              </w:rPr>
            </w:pPr>
            <w:r w:rsidRPr="00F02A4E">
              <w:rPr>
                <w:b/>
              </w:rPr>
              <w:t xml:space="preserve">Volunteer Handbook </w:t>
            </w:r>
          </w:p>
        </w:tc>
        <w:tc>
          <w:tcPr>
            <w:tcW w:w="6614" w:type="dxa"/>
            <w:gridSpan w:val="2"/>
          </w:tcPr>
          <w:p w14:paraId="4A5AAAB2" w14:textId="77777777" w:rsidR="00D367AC" w:rsidRPr="00F02A4E" w:rsidRDefault="00D367AC" w:rsidP="000C7414">
            <w:pPr>
              <w:pStyle w:val="BodyText"/>
              <w:rPr>
                <w:rFonts w:eastAsia="Calibri" w:cs="Arial"/>
                <w:bCs/>
                <w:szCs w:val="20"/>
              </w:rPr>
            </w:pPr>
            <w:r w:rsidRPr="00F02A4E">
              <w:rPr>
                <w:rFonts w:eastAsia="Calibri" w:cs="Arial"/>
                <w:bCs/>
                <w:szCs w:val="20"/>
              </w:rPr>
              <w:t>A document to assist volunteers with their role at the Library.</w:t>
            </w:r>
          </w:p>
        </w:tc>
      </w:tr>
      <w:tr w:rsidR="00D367AC" w:rsidRPr="00F02A4E" w14:paraId="4672B0AA" w14:textId="77777777" w:rsidTr="000C7414">
        <w:tc>
          <w:tcPr>
            <w:tcW w:w="2117" w:type="dxa"/>
          </w:tcPr>
          <w:p w14:paraId="7EF9F88C" w14:textId="77777777" w:rsidR="00D367AC" w:rsidRPr="00F02A4E" w:rsidRDefault="00D367AC" w:rsidP="000C7414">
            <w:pPr>
              <w:pStyle w:val="BodyText"/>
              <w:rPr>
                <w:b/>
              </w:rPr>
            </w:pPr>
            <w:r w:rsidRPr="00F02A4E">
              <w:rPr>
                <w:b/>
              </w:rPr>
              <w:lastRenderedPageBreak/>
              <w:t>Volunteer Program</w:t>
            </w:r>
          </w:p>
        </w:tc>
        <w:tc>
          <w:tcPr>
            <w:tcW w:w="6614" w:type="dxa"/>
            <w:gridSpan w:val="2"/>
          </w:tcPr>
          <w:p w14:paraId="56C10892" w14:textId="77777777" w:rsidR="00D367AC" w:rsidRPr="00F02A4E" w:rsidRDefault="00D367AC" w:rsidP="000C7414">
            <w:pPr>
              <w:pStyle w:val="BodyText"/>
              <w:rPr>
                <w:rFonts w:eastAsia="Calibri" w:cs="Arial"/>
                <w:bCs/>
                <w:szCs w:val="20"/>
              </w:rPr>
            </w:pPr>
            <w:r w:rsidRPr="00F02A4E">
              <w:rPr>
                <w:rFonts w:eastAsia="Calibri" w:cs="Arial"/>
                <w:bCs/>
                <w:szCs w:val="20"/>
              </w:rPr>
              <w:t>A program of approved activities undertaken by volunteers to support the Library and enhance its programs and projects.</w:t>
            </w:r>
          </w:p>
        </w:tc>
      </w:tr>
      <w:tr w:rsidR="00D367AC" w:rsidRPr="00F02A4E" w14:paraId="6FF6D74D" w14:textId="77777777" w:rsidTr="000C7414">
        <w:tc>
          <w:tcPr>
            <w:tcW w:w="2117" w:type="dxa"/>
          </w:tcPr>
          <w:p w14:paraId="38F04B9D" w14:textId="77777777" w:rsidR="00D367AC" w:rsidRPr="00F02A4E" w:rsidRDefault="00D367AC" w:rsidP="000C7414">
            <w:pPr>
              <w:pStyle w:val="BodyText"/>
              <w:rPr>
                <w:b/>
              </w:rPr>
            </w:pPr>
            <w:r w:rsidRPr="00F02A4E">
              <w:rPr>
                <w:b/>
              </w:rPr>
              <w:t xml:space="preserve">Volunteer Project Proposal </w:t>
            </w:r>
          </w:p>
        </w:tc>
        <w:tc>
          <w:tcPr>
            <w:tcW w:w="6614" w:type="dxa"/>
            <w:gridSpan w:val="2"/>
          </w:tcPr>
          <w:p w14:paraId="7591A86A" w14:textId="2D393052" w:rsidR="00D367AC" w:rsidRPr="00F02A4E" w:rsidRDefault="00D367AC" w:rsidP="000C7414">
            <w:pPr>
              <w:pStyle w:val="BodyText"/>
            </w:pPr>
            <w:r w:rsidRPr="00F02A4E">
              <w:t xml:space="preserve">A signed document between the assigned volunteer’s supervisor/s, </w:t>
            </w:r>
            <w:r w:rsidR="005D649B">
              <w:t>section</w:t>
            </w:r>
            <w:r w:rsidRPr="00F02A4E">
              <w:t xml:space="preserve"> manager/s and </w:t>
            </w:r>
            <w:r w:rsidR="005D649B">
              <w:t xml:space="preserve">Branch </w:t>
            </w:r>
            <w:r w:rsidRPr="00F02A4E">
              <w:t>Head/s approving the commencement of a volunteer project.</w:t>
            </w:r>
          </w:p>
        </w:tc>
      </w:tr>
      <w:tr w:rsidR="00D367AC" w:rsidRPr="00F02A4E" w14:paraId="132DBC96" w14:textId="77777777" w:rsidTr="000C7414">
        <w:tc>
          <w:tcPr>
            <w:tcW w:w="2117" w:type="dxa"/>
          </w:tcPr>
          <w:p w14:paraId="6BAE9B48" w14:textId="77777777" w:rsidR="00D367AC" w:rsidRPr="00F02A4E" w:rsidRDefault="00D367AC" w:rsidP="000C7414">
            <w:pPr>
              <w:pStyle w:val="BodyText"/>
              <w:rPr>
                <w:b/>
              </w:rPr>
            </w:pPr>
            <w:r w:rsidRPr="00F02A4E">
              <w:rPr>
                <w:b/>
              </w:rPr>
              <w:t>Work Health and Safety Act (WHS Act)</w:t>
            </w:r>
          </w:p>
        </w:tc>
        <w:tc>
          <w:tcPr>
            <w:tcW w:w="6614" w:type="dxa"/>
            <w:gridSpan w:val="2"/>
          </w:tcPr>
          <w:p w14:paraId="2488122B" w14:textId="77777777" w:rsidR="00D367AC" w:rsidRPr="00F02A4E" w:rsidRDefault="00D367AC" w:rsidP="000C7414">
            <w:pPr>
              <w:pStyle w:val="BodyText"/>
            </w:pPr>
            <w:r w:rsidRPr="00F02A4E">
              <w:t>The governing legislation providing for a nationally consistent framework to secure the health and safety of workers and workplaces. The WHS Act sets out the requirements of workplaces to provide a safe workplace and provides advice and guidance on achieving this.</w:t>
            </w:r>
          </w:p>
        </w:tc>
      </w:tr>
      <w:tr w:rsidR="00D367AC" w:rsidRPr="00F02A4E" w14:paraId="36209396" w14:textId="77777777" w:rsidTr="000C7414">
        <w:tc>
          <w:tcPr>
            <w:tcW w:w="2117" w:type="dxa"/>
          </w:tcPr>
          <w:p w14:paraId="5CA88C79" w14:textId="77777777" w:rsidR="00D367AC" w:rsidRPr="00F02A4E" w:rsidRDefault="00D367AC" w:rsidP="000C7414">
            <w:pPr>
              <w:pStyle w:val="BodyText"/>
              <w:rPr>
                <w:b/>
              </w:rPr>
            </w:pPr>
            <w:r w:rsidRPr="00F02A4E">
              <w:rPr>
                <w:b/>
              </w:rPr>
              <w:t>Work Health and Safety Codes of Practice (the Codes)</w:t>
            </w:r>
          </w:p>
        </w:tc>
        <w:tc>
          <w:tcPr>
            <w:tcW w:w="6614" w:type="dxa"/>
            <w:gridSpan w:val="2"/>
          </w:tcPr>
          <w:p w14:paraId="4921F0D2" w14:textId="77777777" w:rsidR="00D367AC" w:rsidRPr="00F02A4E" w:rsidRDefault="00D367AC" w:rsidP="000C7414">
            <w:pPr>
              <w:pStyle w:val="BodyText"/>
            </w:pPr>
            <w:r w:rsidRPr="00F02A4E">
              <w:t>Codes of practice are practical guides to achieving the standards of health and safety required under the WHS Act and Regulations.</w:t>
            </w:r>
          </w:p>
        </w:tc>
      </w:tr>
      <w:tr w:rsidR="00D367AC" w:rsidRPr="00F02A4E" w14:paraId="18218D7E" w14:textId="77777777" w:rsidTr="000C7414">
        <w:tc>
          <w:tcPr>
            <w:tcW w:w="2117" w:type="dxa"/>
          </w:tcPr>
          <w:p w14:paraId="1ACABF88" w14:textId="77777777" w:rsidR="00D367AC" w:rsidRPr="00F02A4E" w:rsidRDefault="00D367AC" w:rsidP="000C7414">
            <w:pPr>
              <w:pStyle w:val="BodyText"/>
              <w:rPr>
                <w:b/>
              </w:rPr>
            </w:pPr>
            <w:r w:rsidRPr="00F02A4E">
              <w:rPr>
                <w:b/>
              </w:rPr>
              <w:t>Work Health and Safety Regulations (the regulations)</w:t>
            </w:r>
          </w:p>
        </w:tc>
        <w:tc>
          <w:tcPr>
            <w:tcW w:w="6614" w:type="dxa"/>
            <w:gridSpan w:val="2"/>
          </w:tcPr>
          <w:p w14:paraId="6F22764E" w14:textId="77777777" w:rsidR="00D367AC" w:rsidRPr="00F02A4E" w:rsidRDefault="00D367AC" w:rsidP="000C7414">
            <w:pPr>
              <w:pStyle w:val="BodyText"/>
            </w:pPr>
            <w:r w:rsidRPr="00F02A4E">
              <w:t>The Regulations set out detailed requirements to support the duties defined in the WHS Act. They prescribe procedural or administrative requirements to support the WHS Act.</w:t>
            </w:r>
          </w:p>
        </w:tc>
      </w:tr>
    </w:tbl>
    <w:p w14:paraId="00D3BC67" w14:textId="77777777" w:rsidR="00D367AC" w:rsidRPr="00F02A4E" w:rsidRDefault="00D367AC" w:rsidP="0086306B">
      <w:pPr>
        <w:pStyle w:val="Heading1"/>
        <w:keepLines w:val="0"/>
        <w:ind w:left="709"/>
        <w:rPr>
          <w:sz w:val="36"/>
          <w:szCs w:val="36"/>
        </w:rPr>
      </w:pPr>
    </w:p>
    <w:p w14:paraId="2769A9BD" w14:textId="3A08DB59" w:rsidR="00963AE3" w:rsidRPr="00F02A4E" w:rsidRDefault="00963AE3" w:rsidP="0086306B">
      <w:pPr>
        <w:pStyle w:val="Heading1"/>
        <w:keepLines w:val="0"/>
        <w:numPr>
          <w:ilvl w:val="0"/>
          <w:numId w:val="8"/>
        </w:numPr>
        <w:ind w:left="709" w:hanging="709"/>
        <w:rPr>
          <w:sz w:val="36"/>
          <w:szCs w:val="36"/>
        </w:rPr>
      </w:pPr>
      <w:bookmarkStart w:id="7" w:name="_Toc67480416"/>
      <w:r w:rsidRPr="00F02A4E">
        <w:rPr>
          <w:sz w:val="36"/>
          <w:szCs w:val="36"/>
        </w:rPr>
        <w:t>Policy statement</w:t>
      </w:r>
      <w:bookmarkEnd w:id="7"/>
      <w:r w:rsidR="002246A9" w:rsidRPr="00F02A4E">
        <w:rPr>
          <w:sz w:val="36"/>
          <w:szCs w:val="36"/>
        </w:rPr>
        <w:tab/>
      </w:r>
    </w:p>
    <w:p w14:paraId="1DF64897" w14:textId="7F279D75" w:rsidR="002246A9" w:rsidRPr="00F02A4E" w:rsidRDefault="0086306B" w:rsidP="002246A9">
      <w:pPr>
        <w:pStyle w:val="Content1"/>
        <w:ind w:hanging="720"/>
      </w:pPr>
      <w:r w:rsidRPr="00F02A4E">
        <w:t>The National Library of Australia’s policy on Volunteers provides an opportunity for the Library to enhance its programs and projects by drawing on the skills and experience of the local volunteer community</w:t>
      </w:r>
      <w:r w:rsidR="00732732">
        <w:t xml:space="preserve">. </w:t>
      </w:r>
    </w:p>
    <w:p w14:paraId="1714E073" w14:textId="77777777" w:rsidR="0086306B" w:rsidRPr="00F02A4E" w:rsidRDefault="0086306B" w:rsidP="0086306B">
      <w:pPr>
        <w:pStyle w:val="Content1"/>
        <w:numPr>
          <w:ilvl w:val="0"/>
          <w:numId w:val="0"/>
        </w:numPr>
        <w:ind w:left="720"/>
      </w:pPr>
    </w:p>
    <w:p w14:paraId="0C4B998F" w14:textId="367A6256" w:rsidR="00963AE3" w:rsidRPr="00F02A4E" w:rsidRDefault="00963AE3" w:rsidP="0086306B">
      <w:pPr>
        <w:pStyle w:val="Heading1"/>
        <w:keepLines w:val="0"/>
        <w:numPr>
          <w:ilvl w:val="0"/>
          <w:numId w:val="8"/>
        </w:numPr>
        <w:ind w:left="709" w:hanging="709"/>
        <w:rPr>
          <w:sz w:val="36"/>
          <w:szCs w:val="36"/>
        </w:rPr>
      </w:pPr>
      <w:bookmarkStart w:id="8" w:name="_Toc67480417"/>
      <w:r w:rsidRPr="00F02A4E">
        <w:rPr>
          <w:sz w:val="36"/>
          <w:szCs w:val="36"/>
        </w:rPr>
        <w:t>Key roles and responsibilities</w:t>
      </w:r>
      <w:bookmarkEnd w:id="8"/>
    </w:p>
    <w:p w14:paraId="3B539F11" w14:textId="77777777" w:rsidR="00877FA9" w:rsidRPr="00F02A4E" w:rsidRDefault="00877FA9" w:rsidP="00877FA9"/>
    <w:tbl>
      <w:tblPr>
        <w:tblStyle w:val="TableGrid"/>
        <w:tblW w:w="0" w:type="auto"/>
        <w:tblBorders>
          <w:left w:val="none" w:sz="0" w:space="0" w:color="auto"/>
          <w:right w:val="none" w:sz="0" w:space="0" w:color="auto"/>
        </w:tblBorders>
        <w:tblLook w:val="04A0" w:firstRow="1" w:lastRow="0" w:firstColumn="1" w:lastColumn="0" w:noHBand="0" w:noVBand="1"/>
      </w:tblPr>
      <w:tblGrid>
        <w:gridCol w:w="2117"/>
        <w:gridCol w:w="6614"/>
      </w:tblGrid>
      <w:tr w:rsidR="00877FA9" w:rsidRPr="00F02A4E" w14:paraId="76A1B74D" w14:textId="77777777" w:rsidTr="000C7414">
        <w:tc>
          <w:tcPr>
            <w:tcW w:w="2117" w:type="dxa"/>
          </w:tcPr>
          <w:p w14:paraId="120A3528" w14:textId="2B78943D" w:rsidR="00877FA9" w:rsidRPr="00F02A4E" w:rsidRDefault="00877FA9" w:rsidP="000C7414">
            <w:pPr>
              <w:pStyle w:val="BodyText"/>
              <w:rPr>
                <w:b/>
              </w:rPr>
            </w:pPr>
            <w:r w:rsidRPr="00F02A4E">
              <w:rPr>
                <w:b/>
              </w:rPr>
              <w:t xml:space="preserve">Director, Exhibitions </w:t>
            </w:r>
          </w:p>
        </w:tc>
        <w:tc>
          <w:tcPr>
            <w:tcW w:w="6614" w:type="dxa"/>
          </w:tcPr>
          <w:p w14:paraId="2CA5FB2D" w14:textId="77777777" w:rsidR="00877FA9" w:rsidRPr="00F02A4E" w:rsidRDefault="00877FA9" w:rsidP="000C7414">
            <w:pPr>
              <w:spacing w:before="60" w:after="60"/>
            </w:pPr>
            <w:r w:rsidRPr="00F02A4E">
              <w:t>Oversees the implementation of the Library’s Volunteer Program policy</w:t>
            </w:r>
          </w:p>
        </w:tc>
      </w:tr>
      <w:tr w:rsidR="00877FA9" w:rsidRPr="00F02A4E" w14:paraId="3C56F44B" w14:textId="77777777" w:rsidTr="000C7414">
        <w:tc>
          <w:tcPr>
            <w:tcW w:w="2117" w:type="dxa"/>
          </w:tcPr>
          <w:p w14:paraId="3501E987" w14:textId="51104A72" w:rsidR="00877FA9" w:rsidRPr="00F02A4E" w:rsidRDefault="00877FA9" w:rsidP="000C7414">
            <w:pPr>
              <w:pStyle w:val="BodyText"/>
              <w:rPr>
                <w:b/>
              </w:rPr>
            </w:pPr>
            <w:r w:rsidRPr="00F02A4E">
              <w:rPr>
                <w:b/>
              </w:rPr>
              <w:t>Branch Heads</w:t>
            </w:r>
          </w:p>
        </w:tc>
        <w:tc>
          <w:tcPr>
            <w:tcW w:w="6614" w:type="dxa"/>
          </w:tcPr>
          <w:p w14:paraId="2568B0E4" w14:textId="1BC15B02" w:rsidR="00877FA9" w:rsidRPr="00F02A4E" w:rsidRDefault="00877FA9" w:rsidP="000C7414">
            <w:pPr>
              <w:spacing w:before="60" w:after="60"/>
            </w:pPr>
            <w:r w:rsidRPr="00F02A4E">
              <w:t>Approve the Volunteer Project proposals within their Branch</w:t>
            </w:r>
          </w:p>
        </w:tc>
      </w:tr>
      <w:tr w:rsidR="00877FA9" w:rsidRPr="00F02A4E" w14:paraId="0F7909EE" w14:textId="77777777" w:rsidTr="000C7414">
        <w:tc>
          <w:tcPr>
            <w:tcW w:w="2117" w:type="dxa"/>
          </w:tcPr>
          <w:p w14:paraId="6EE6B670" w14:textId="6C2BA4CD" w:rsidR="00877FA9" w:rsidRPr="00F02A4E" w:rsidRDefault="00877FA9" w:rsidP="000C7414">
            <w:pPr>
              <w:pStyle w:val="BodyText"/>
              <w:rPr>
                <w:b/>
              </w:rPr>
            </w:pPr>
            <w:r w:rsidRPr="00F02A4E">
              <w:rPr>
                <w:b/>
              </w:rPr>
              <w:t xml:space="preserve">Program Manager, Curatorial – Exhibitions  </w:t>
            </w:r>
          </w:p>
        </w:tc>
        <w:tc>
          <w:tcPr>
            <w:tcW w:w="6614" w:type="dxa"/>
          </w:tcPr>
          <w:p w14:paraId="23F1D4AF" w14:textId="3C77C25F" w:rsidR="00877FA9" w:rsidRPr="00F02A4E" w:rsidRDefault="00877FA9" w:rsidP="000C7414">
            <w:pPr>
              <w:spacing w:before="60" w:after="60"/>
            </w:pPr>
            <w:r w:rsidRPr="00F02A4E">
              <w:t>Supervises the Coordinator, Volunteer Guides</w:t>
            </w:r>
          </w:p>
        </w:tc>
      </w:tr>
      <w:tr w:rsidR="00877FA9" w:rsidRPr="00F02A4E" w14:paraId="09CD6EFB" w14:textId="77777777" w:rsidTr="000C7414">
        <w:tc>
          <w:tcPr>
            <w:tcW w:w="2117" w:type="dxa"/>
          </w:tcPr>
          <w:p w14:paraId="317EA676" w14:textId="77777777" w:rsidR="00877FA9" w:rsidRPr="00F02A4E" w:rsidRDefault="00877FA9" w:rsidP="000C7414">
            <w:pPr>
              <w:pStyle w:val="BodyText"/>
              <w:rPr>
                <w:b/>
              </w:rPr>
            </w:pPr>
            <w:r w:rsidRPr="00F02A4E">
              <w:rPr>
                <w:b/>
              </w:rPr>
              <w:t>Manager, Volunteer Supervisor</w:t>
            </w:r>
          </w:p>
        </w:tc>
        <w:tc>
          <w:tcPr>
            <w:tcW w:w="6614" w:type="dxa"/>
          </w:tcPr>
          <w:p w14:paraId="62C4BCC7" w14:textId="77777777" w:rsidR="00877FA9" w:rsidRPr="00F02A4E" w:rsidRDefault="00877FA9" w:rsidP="000C7414">
            <w:pPr>
              <w:spacing w:before="60" w:after="60"/>
            </w:pPr>
            <w:r w:rsidRPr="00F02A4E">
              <w:t>Where a work area undertakes a volunteer placement the manager of the volunteer supervisor is required to ensure:</w:t>
            </w:r>
          </w:p>
          <w:p w14:paraId="308B1C2C" w14:textId="1C3E4E70" w:rsidR="00877FA9" w:rsidRPr="00F02A4E" w:rsidRDefault="00877FA9" w:rsidP="00877FA9">
            <w:pPr>
              <w:pStyle w:val="ListParagraph"/>
              <w:numPr>
                <w:ilvl w:val="0"/>
                <w:numId w:val="14"/>
              </w:numPr>
              <w:spacing w:before="60" w:after="60"/>
            </w:pPr>
            <w:r w:rsidRPr="00F02A4E">
              <w:t xml:space="preserve">Any changes to the volunteer supervisor </w:t>
            </w:r>
            <w:proofErr w:type="gramStart"/>
            <w:r w:rsidRPr="00F02A4E">
              <w:t>is</w:t>
            </w:r>
            <w:proofErr w:type="gramEnd"/>
            <w:r w:rsidRPr="00F02A4E">
              <w:t xml:space="preserve"> communicated to the </w:t>
            </w:r>
            <w:r w:rsidR="000C7414" w:rsidRPr="00F02A4E">
              <w:t>Coordinator, Volunteer Guides</w:t>
            </w:r>
          </w:p>
          <w:p w14:paraId="63C4A3D1" w14:textId="77777777" w:rsidR="00877FA9" w:rsidRPr="00F02A4E" w:rsidRDefault="00877FA9" w:rsidP="00877FA9">
            <w:pPr>
              <w:pStyle w:val="ListParagraph"/>
              <w:numPr>
                <w:ilvl w:val="0"/>
                <w:numId w:val="14"/>
              </w:numPr>
              <w:spacing w:before="60" w:after="60"/>
            </w:pPr>
            <w:r w:rsidRPr="00F02A4E">
              <w:lastRenderedPageBreak/>
              <w:t xml:space="preserve">The volunteer supervisor has been briefed, and understands, their duties and responsibilities to the volunteer including their WHS obligations </w:t>
            </w:r>
          </w:p>
        </w:tc>
      </w:tr>
      <w:tr w:rsidR="00877FA9" w:rsidRPr="00F02A4E" w14:paraId="2D7C5A7B" w14:textId="77777777" w:rsidTr="000C7414">
        <w:tc>
          <w:tcPr>
            <w:tcW w:w="2117" w:type="dxa"/>
          </w:tcPr>
          <w:p w14:paraId="292755CC" w14:textId="7A0C65BF" w:rsidR="00877FA9" w:rsidRPr="00F02A4E" w:rsidRDefault="00877FA9" w:rsidP="000C7414">
            <w:pPr>
              <w:pStyle w:val="BodyText"/>
              <w:rPr>
                <w:b/>
              </w:rPr>
            </w:pPr>
            <w:r w:rsidRPr="00F02A4E">
              <w:rPr>
                <w:b/>
              </w:rPr>
              <w:lastRenderedPageBreak/>
              <w:t xml:space="preserve">Coordinator, Volunteer Guides </w:t>
            </w:r>
          </w:p>
        </w:tc>
        <w:tc>
          <w:tcPr>
            <w:tcW w:w="6614" w:type="dxa"/>
          </w:tcPr>
          <w:p w14:paraId="651338F1" w14:textId="77777777" w:rsidR="00877FA9" w:rsidRPr="00F02A4E" w:rsidRDefault="00877FA9" w:rsidP="000C7414">
            <w:pPr>
              <w:spacing w:before="60" w:after="60"/>
              <w:rPr>
                <w:rFonts w:cs="Arial"/>
                <w:color w:val="000000"/>
              </w:rPr>
            </w:pPr>
            <w:r w:rsidRPr="00F02A4E">
              <w:rPr>
                <w:rFonts w:cs="Arial"/>
                <w:color w:val="000000"/>
              </w:rPr>
              <w:t>Implements and manages the Volunteer Program</w:t>
            </w:r>
          </w:p>
        </w:tc>
      </w:tr>
      <w:tr w:rsidR="00877FA9" w:rsidRPr="00F02A4E" w14:paraId="1A3EDDF4" w14:textId="77777777" w:rsidTr="000C7414">
        <w:tc>
          <w:tcPr>
            <w:tcW w:w="2117" w:type="dxa"/>
          </w:tcPr>
          <w:p w14:paraId="16A7EDDD" w14:textId="77777777" w:rsidR="00877FA9" w:rsidRPr="00F02A4E" w:rsidRDefault="00877FA9" w:rsidP="000C7414">
            <w:pPr>
              <w:pStyle w:val="BodyText"/>
              <w:rPr>
                <w:b/>
              </w:rPr>
            </w:pPr>
            <w:r w:rsidRPr="00F02A4E">
              <w:rPr>
                <w:b/>
              </w:rPr>
              <w:t>Volunteer Supervisors</w:t>
            </w:r>
          </w:p>
        </w:tc>
        <w:tc>
          <w:tcPr>
            <w:tcW w:w="6614" w:type="dxa"/>
          </w:tcPr>
          <w:p w14:paraId="435CEE35" w14:textId="77777777" w:rsidR="00877FA9" w:rsidRPr="00F02A4E" w:rsidRDefault="00877FA9" w:rsidP="000C7414">
            <w:pPr>
              <w:spacing w:before="60" w:after="60"/>
              <w:rPr>
                <w:rFonts w:cs="Arial"/>
                <w:color w:val="000000"/>
              </w:rPr>
            </w:pPr>
            <w:r w:rsidRPr="00F02A4E">
              <w:rPr>
                <w:rFonts w:cs="Arial"/>
                <w:color w:val="000000"/>
              </w:rPr>
              <w:t>Supervises, trains and guides the volunteer with their project</w:t>
            </w:r>
          </w:p>
          <w:p w14:paraId="5F2B4690" w14:textId="383BB2AF" w:rsidR="00877FA9" w:rsidRPr="00F02A4E" w:rsidRDefault="00877FA9" w:rsidP="000C7414">
            <w:pPr>
              <w:spacing w:before="60" w:after="60"/>
              <w:rPr>
                <w:rFonts w:cs="Arial"/>
                <w:color w:val="000000"/>
              </w:rPr>
            </w:pPr>
            <w:r w:rsidRPr="00F02A4E">
              <w:rPr>
                <w:rFonts w:cs="Arial"/>
                <w:color w:val="000000"/>
              </w:rPr>
              <w:t xml:space="preserve">Volunteer supervisors are required to keep the </w:t>
            </w:r>
            <w:r w:rsidR="000C7414" w:rsidRPr="00F02A4E">
              <w:rPr>
                <w:rFonts w:cs="Arial"/>
                <w:color w:val="000000"/>
              </w:rPr>
              <w:t>C</w:t>
            </w:r>
            <w:r w:rsidRPr="00F02A4E">
              <w:rPr>
                <w:rFonts w:cs="Arial"/>
                <w:color w:val="000000"/>
              </w:rPr>
              <w:t>oordinator, Volunteer Guides up to date on performance and progress of the volunteer including when the volunteer ceases their placement</w:t>
            </w:r>
          </w:p>
        </w:tc>
      </w:tr>
    </w:tbl>
    <w:p w14:paraId="3011F0E7" w14:textId="77777777" w:rsidR="00877FA9" w:rsidRPr="00F02A4E" w:rsidRDefault="00877FA9" w:rsidP="00877FA9">
      <w:pPr>
        <w:pStyle w:val="BodyText"/>
      </w:pPr>
    </w:p>
    <w:p w14:paraId="4B4EA81D" w14:textId="77777777" w:rsidR="00963AE3" w:rsidRPr="00F02A4E" w:rsidRDefault="00963AE3" w:rsidP="00963AE3"/>
    <w:p w14:paraId="30DB9279" w14:textId="50E7AD63" w:rsidR="00877FA9" w:rsidRPr="00F02A4E" w:rsidRDefault="00877FA9" w:rsidP="00877FA9">
      <w:pPr>
        <w:pStyle w:val="Heading1"/>
        <w:keepLines w:val="0"/>
        <w:numPr>
          <w:ilvl w:val="0"/>
          <w:numId w:val="8"/>
        </w:numPr>
        <w:ind w:left="709" w:hanging="709"/>
        <w:rPr>
          <w:sz w:val="36"/>
          <w:szCs w:val="36"/>
        </w:rPr>
      </w:pPr>
      <w:bookmarkStart w:id="9" w:name="_Toc511052717"/>
      <w:bookmarkStart w:id="10" w:name="_Toc67480418"/>
      <w:r w:rsidRPr="00F02A4E">
        <w:rPr>
          <w:sz w:val="36"/>
          <w:szCs w:val="36"/>
        </w:rPr>
        <w:t>Key Outcome</w:t>
      </w:r>
      <w:bookmarkEnd w:id="9"/>
      <w:bookmarkEnd w:id="10"/>
    </w:p>
    <w:p w14:paraId="30E45357" w14:textId="7E9EDD3D" w:rsidR="00963AE3" w:rsidRPr="00F02A4E" w:rsidRDefault="00877FA9" w:rsidP="00FA010D">
      <w:pPr>
        <w:pStyle w:val="Content1"/>
        <w:ind w:hanging="720"/>
      </w:pPr>
      <w:r w:rsidRPr="00F02A4E">
        <w:t xml:space="preserve">Library volunteers support </w:t>
      </w:r>
      <w:r w:rsidR="009F4DB4">
        <w:t>achievement of the</w:t>
      </w:r>
      <w:r w:rsidRPr="00F02A4E">
        <w:t xml:space="preserve"> Library</w:t>
      </w:r>
      <w:r w:rsidR="009F4DB4">
        <w:t>’s strategic objectives</w:t>
      </w:r>
      <w:r w:rsidRPr="00F02A4E">
        <w:t xml:space="preserve"> through on-site participation in a range of projects that draw on </w:t>
      </w:r>
      <w:r w:rsidR="009F4DB4">
        <w:t>volunteers’</w:t>
      </w:r>
      <w:r w:rsidR="009F4DB4" w:rsidRPr="00F02A4E">
        <w:t xml:space="preserve"> </w:t>
      </w:r>
      <w:r w:rsidRPr="00F02A4E">
        <w:t>skills and experience</w:t>
      </w:r>
      <w:r w:rsidR="00732732">
        <w:t xml:space="preserve">, </w:t>
      </w:r>
      <w:r w:rsidRPr="00F02A4E">
        <w:t xml:space="preserve">within a safe and supportive environment. </w:t>
      </w:r>
    </w:p>
    <w:p w14:paraId="7255364C" w14:textId="77777777" w:rsidR="00877FA9" w:rsidRPr="00F02A4E" w:rsidRDefault="00877FA9" w:rsidP="00877FA9">
      <w:pPr>
        <w:pStyle w:val="Heading1"/>
        <w:keepLines w:val="0"/>
        <w:ind w:left="709"/>
        <w:rPr>
          <w:sz w:val="36"/>
          <w:szCs w:val="36"/>
        </w:rPr>
      </w:pPr>
    </w:p>
    <w:p w14:paraId="28769A9F" w14:textId="5F3007E5" w:rsidR="00FA010D" w:rsidRPr="00F02A4E" w:rsidRDefault="00877FA9" w:rsidP="0086306B">
      <w:pPr>
        <w:pStyle w:val="Heading1"/>
        <w:keepLines w:val="0"/>
        <w:numPr>
          <w:ilvl w:val="0"/>
          <w:numId w:val="8"/>
        </w:numPr>
        <w:ind w:left="709" w:hanging="709"/>
        <w:rPr>
          <w:sz w:val="36"/>
          <w:szCs w:val="36"/>
        </w:rPr>
      </w:pPr>
      <w:bookmarkStart w:id="11" w:name="_Toc67480419"/>
      <w:r w:rsidRPr="00F02A4E">
        <w:rPr>
          <w:sz w:val="36"/>
          <w:szCs w:val="36"/>
        </w:rPr>
        <w:t>Implementation Process</w:t>
      </w:r>
      <w:bookmarkEnd w:id="11"/>
      <w:r w:rsidRPr="00F02A4E">
        <w:rPr>
          <w:sz w:val="36"/>
          <w:szCs w:val="36"/>
        </w:rPr>
        <w:t xml:space="preserve"> </w:t>
      </w:r>
    </w:p>
    <w:p w14:paraId="4E90DF02" w14:textId="777AF25C" w:rsidR="00877FA9" w:rsidRPr="00F02A4E" w:rsidRDefault="00877FA9" w:rsidP="00877FA9">
      <w:pPr>
        <w:pStyle w:val="Content1"/>
        <w:ind w:hanging="720"/>
      </w:pPr>
      <w:r w:rsidRPr="00F02A4E">
        <w:t>The Library accepts, at its discretion, volunteers who are enthusiastic and committed to the Library</w:t>
      </w:r>
      <w:r w:rsidR="009F4DB4">
        <w:t>’s</w:t>
      </w:r>
      <w:r w:rsidRPr="00F02A4E">
        <w:t xml:space="preserve"> programs and goals. </w:t>
      </w:r>
    </w:p>
    <w:p w14:paraId="26C82BAA" w14:textId="77777777" w:rsidR="00877FA9" w:rsidRPr="00F02A4E" w:rsidRDefault="00877FA9" w:rsidP="00877FA9">
      <w:pPr>
        <w:pStyle w:val="Content1"/>
        <w:ind w:hanging="720"/>
      </w:pPr>
      <w:r w:rsidRPr="00F02A4E">
        <w:t>Volunteers are expected to work under limited supervision, have reasonable experience in working in a research and administrative environment, and be able to volunteer for a minimum of six hours per month.</w:t>
      </w:r>
    </w:p>
    <w:p w14:paraId="683FEDB9" w14:textId="77777777" w:rsidR="00877FA9" w:rsidRPr="00F02A4E" w:rsidRDefault="00877FA9" w:rsidP="00877FA9">
      <w:pPr>
        <w:pStyle w:val="Content1"/>
        <w:ind w:hanging="720"/>
      </w:pPr>
      <w:r w:rsidRPr="00F02A4E">
        <w:t>The Library Volunteer Program is distinct from other categories of nonpaid work at the Library, such as work experience and internships.</w:t>
      </w:r>
    </w:p>
    <w:p w14:paraId="778FD1A8" w14:textId="77777777" w:rsidR="00877FA9" w:rsidRPr="00F02A4E" w:rsidRDefault="00877FA9" w:rsidP="00877FA9">
      <w:pPr>
        <w:pStyle w:val="Content1"/>
        <w:ind w:hanging="720"/>
      </w:pPr>
      <w:r w:rsidRPr="00F02A4E">
        <w:t>Voluntary hours should not exceed 16 hours per week as recommended by the national peak body, Volunteering Australia.</w:t>
      </w:r>
    </w:p>
    <w:p w14:paraId="636B191C" w14:textId="2F3246F0" w:rsidR="00877FA9" w:rsidRPr="00F02A4E" w:rsidRDefault="00877FA9" w:rsidP="00877FA9">
      <w:pPr>
        <w:pStyle w:val="Content1"/>
        <w:ind w:hanging="720"/>
      </w:pPr>
      <w:r w:rsidRPr="00F02A4E">
        <w:rPr>
          <w:rFonts w:cs="Arial"/>
          <w:szCs w:val="20"/>
          <w:lang w:val="en-GB"/>
        </w:rPr>
        <w:t>For most projects the Library seeks a commitment of at least twelve months from volunteers</w:t>
      </w:r>
      <w:r w:rsidR="009D17C6">
        <w:rPr>
          <w:rFonts w:cs="Arial"/>
          <w:szCs w:val="20"/>
          <w:lang w:val="en-GB"/>
        </w:rPr>
        <w:t>.</w:t>
      </w:r>
    </w:p>
    <w:p w14:paraId="1EF6822B" w14:textId="5B5D0DB9" w:rsidR="00FA010D" w:rsidRPr="00F02A4E" w:rsidRDefault="00FA010D" w:rsidP="00877FA9">
      <w:pPr>
        <w:pStyle w:val="Content1"/>
        <w:numPr>
          <w:ilvl w:val="0"/>
          <w:numId w:val="0"/>
        </w:numPr>
        <w:ind w:left="720"/>
      </w:pPr>
    </w:p>
    <w:p w14:paraId="71EC7D71" w14:textId="1B95EF66" w:rsidR="00FA010D" w:rsidRPr="00F02A4E" w:rsidRDefault="00877FA9" w:rsidP="0086306B">
      <w:pPr>
        <w:pStyle w:val="Heading1"/>
        <w:keepLines w:val="0"/>
        <w:numPr>
          <w:ilvl w:val="0"/>
          <w:numId w:val="8"/>
        </w:numPr>
        <w:ind w:left="709" w:hanging="709"/>
        <w:rPr>
          <w:sz w:val="36"/>
          <w:szCs w:val="36"/>
        </w:rPr>
      </w:pPr>
      <w:bookmarkStart w:id="12" w:name="_Toc67480420"/>
      <w:r w:rsidRPr="00F02A4E">
        <w:rPr>
          <w:sz w:val="36"/>
          <w:szCs w:val="36"/>
        </w:rPr>
        <w:t>Volunteer Recruitment and Selection for Projects</w:t>
      </w:r>
      <w:bookmarkEnd w:id="12"/>
      <w:r w:rsidRPr="00F02A4E">
        <w:rPr>
          <w:sz w:val="36"/>
          <w:szCs w:val="36"/>
        </w:rPr>
        <w:t xml:space="preserve"> </w:t>
      </w:r>
    </w:p>
    <w:p w14:paraId="18953F61" w14:textId="5EF19A31" w:rsidR="00FA010D" w:rsidRPr="00F02A4E" w:rsidRDefault="000C7414" w:rsidP="00FA010D">
      <w:pPr>
        <w:pStyle w:val="Content1"/>
        <w:ind w:hanging="720"/>
      </w:pPr>
      <w:r w:rsidRPr="00F02A4E">
        <w:rPr>
          <w:rFonts w:cs="Arial"/>
          <w:szCs w:val="20"/>
        </w:rPr>
        <w:t xml:space="preserve">Volunteers will be recruited through an annual recruitment process, if required. Advertisement will be conducted through the Library’s Website and social media channels as well as external channels </w:t>
      </w:r>
      <w:r w:rsidR="00C46850" w:rsidRPr="00F02A4E">
        <w:rPr>
          <w:rFonts w:cs="Arial"/>
          <w:szCs w:val="20"/>
        </w:rPr>
        <w:t>i.e.</w:t>
      </w:r>
      <w:r w:rsidRPr="00F02A4E">
        <w:rPr>
          <w:rFonts w:cs="Arial"/>
          <w:szCs w:val="20"/>
        </w:rPr>
        <w:t xml:space="preserve"> Volunteering ACT</w:t>
      </w:r>
      <w:r w:rsidR="00877FA9" w:rsidRPr="00F02A4E">
        <w:t xml:space="preserve">. </w:t>
      </w:r>
      <w:r w:rsidR="00C46850" w:rsidRPr="00F02A4E">
        <w:t xml:space="preserve">The Library may actively recruit volunteers with specialised knowledge or skills. </w:t>
      </w:r>
    </w:p>
    <w:p w14:paraId="79F447A9" w14:textId="767D18AD" w:rsidR="00C46850" w:rsidRPr="00F02A4E" w:rsidRDefault="00C46850" w:rsidP="00FA010D">
      <w:pPr>
        <w:pStyle w:val="Content1"/>
        <w:ind w:hanging="720"/>
      </w:pPr>
      <w:r w:rsidRPr="00F02A4E">
        <w:rPr>
          <w:rFonts w:cs="Arial"/>
          <w:szCs w:val="20"/>
        </w:rPr>
        <w:lastRenderedPageBreak/>
        <w:t xml:space="preserve">Interested volunteers are required to make an application to the Library by filling in a </w:t>
      </w:r>
      <w:r w:rsidRPr="00F02A4E">
        <w:rPr>
          <w:rFonts w:cs="Arial"/>
          <w:i/>
          <w:iCs/>
          <w:szCs w:val="20"/>
        </w:rPr>
        <w:t>Volunteer Program Application Form</w:t>
      </w:r>
      <w:r w:rsidRPr="00F02A4E">
        <w:rPr>
          <w:rFonts w:cs="Arial"/>
          <w:szCs w:val="20"/>
        </w:rPr>
        <w:t xml:space="preserve">.  All applications will be acknowledged, however only applicants with the required skills needed by the Library will be invited for interview. </w:t>
      </w:r>
    </w:p>
    <w:p w14:paraId="2336DDF6" w14:textId="1DE247C8" w:rsidR="00877FA9" w:rsidRPr="00F02A4E" w:rsidRDefault="00877FA9" w:rsidP="00FA010D">
      <w:pPr>
        <w:pStyle w:val="Content1"/>
        <w:ind w:hanging="720"/>
      </w:pPr>
      <w:r w:rsidRPr="00F02A4E">
        <w:t>The Coordinator</w:t>
      </w:r>
      <w:r w:rsidR="00C46850" w:rsidRPr="00F02A4E">
        <w:t>, Volunteer Guides</w:t>
      </w:r>
      <w:r w:rsidRPr="00F02A4E">
        <w:t xml:space="preserve"> may decline, at their discretion, to accept the services of any potential volunteer.</w:t>
      </w:r>
    </w:p>
    <w:p w14:paraId="7BE272B9" w14:textId="2DD08F16" w:rsidR="00877FA9" w:rsidRPr="00F02A4E" w:rsidRDefault="00877FA9" w:rsidP="00FA010D">
      <w:pPr>
        <w:pStyle w:val="Content1"/>
        <w:ind w:hanging="720"/>
      </w:pPr>
      <w:r w:rsidRPr="00F02A4E">
        <w:t xml:space="preserve">Existing employees of the Library must seek approval from their Branch Head before applying to become a volunteer. Approval for existing employees to participate in the Volunteers Program is discretionary and subject to operational requirements. </w:t>
      </w:r>
    </w:p>
    <w:p w14:paraId="2F26DFE1" w14:textId="2DD999E4" w:rsidR="00877FA9" w:rsidRPr="00F02A4E" w:rsidRDefault="00877FA9" w:rsidP="00877FA9">
      <w:pPr>
        <w:pStyle w:val="Content1"/>
        <w:ind w:hanging="720"/>
      </w:pPr>
      <w:r w:rsidRPr="00F02A4E">
        <w:t>Areas of the Library that wish to utilise volunteers need to contact the</w:t>
      </w:r>
      <w:r w:rsidR="00C46850" w:rsidRPr="00F02A4E">
        <w:t xml:space="preserve"> </w:t>
      </w:r>
      <w:r w:rsidRPr="00F02A4E">
        <w:t>Coordinator</w:t>
      </w:r>
      <w:r w:rsidR="00C46850" w:rsidRPr="00F02A4E">
        <w:t>, Volunteer Guides</w:t>
      </w:r>
      <w:r w:rsidRPr="00F02A4E">
        <w:t xml:space="preserve"> directly. A Volunteer Project Proposal needs to be assessed and approved by all </w:t>
      </w:r>
      <w:r w:rsidR="008806DF" w:rsidRPr="00F02A4E">
        <w:t>S</w:t>
      </w:r>
      <w:r w:rsidRPr="00F02A4E">
        <w:t xml:space="preserve">ection and </w:t>
      </w:r>
      <w:r w:rsidR="00C46850" w:rsidRPr="00F02A4E">
        <w:t>Branch</w:t>
      </w:r>
      <w:r w:rsidRPr="00F02A4E">
        <w:t xml:space="preserve"> Heads involved. This form ensures the project has the necessary </w:t>
      </w:r>
      <w:r w:rsidR="001B6474">
        <w:t>branch</w:t>
      </w:r>
      <w:r w:rsidRPr="00F02A4E">
        <w:t xml:space="preserve"> approval before commencing and clearly states what will be required from the volunteer.</w:t>
      </w:r>
    </w:p>
    <w:p w14:paraId="152C4258" w14:textId="06D45A68" w:rsidR="00877FA9" w:rsidRPr="00F02A4E" w:rsidRDefault="00877FA9" w:rsidP="00FA010D">
      <w:pPr>
        <w:pStyle w:val="Content1"/>
        <w:ind w:hanging="720"/>
      </w:pPr>
      <w:r w:rsidRPr="00F02A4E">
        <w:t>The Coordinator</w:t>
      </w:r>
      <w:r w:rsidR="00C46850" w:rsidRPr="00F02A4E">
        <w:t>, Volunteer Guides</w:t>
      </w:r>
      <w:r w:rsidRPr="00F02A4E">
        <w:t xml:space="preserve"> will assist with selecting the most suitable volunteer for</w:t>
      </w:r>
      <w:r w:rsidR="00C46850" w:rsidRPr="00F02A4E">
        <w:t xml:space="preserve"> a vacant position</w:t>
      </w:r>
      <w:r w:rsidRPr="00F02A4E">
        <w:t>. This may include inviting expressions of interest from current volunteers</w:t>
      </w:r>
      <w:r w:rsidR="00C46850" w:rsidRPr="00F02A4E">
        <w:t xml:space="preserve">. </w:t>
      </w:r>
    </w:p>
    <w:p w14:paraId="182AFA46" w14:textId="6837D2CD" w:rsidR="00877FA9" w:rsidRPr="00F02A4E" w:rsidRDefault="00877FA9" w:rsidP="00877FA9">
      <w:pPr>
        <w:pStyle w:val="Content1"/>
        <w:ind w:hanging="720"/>
      </w:pPr>
      <w:r w:rsidRPr="00F02A4E">
        <w:t>After an applicant</w:t>
      </w:r>
      <w:r w:rsidR="009F7C48" w:rsidRPr="00F02A4E">
        <w:t>/s</w:t>
      </w:r>
      <w:r w:rsidRPr="00F02A4E">
        <w:t xml:space="preserve"> has been agreed upon, they will be contacted for an interview with the Coordinator</w:t>
      </w:r>
      <w:r w:rsidR="00C46850" w:rsidRPr="00F02A4E">
        <w:t>, Volunteer Guides</w:t>
      </w:r>
      <w:r w:rsidRPr="00F02A4E">
        <w:t xml:space="preserve"> and a representative from the interested branch. The interview will ensure that all parties come to a mutual agreement about the skills required, task description</w:t>
      </w:r>
      <w:r w:rsidR="00C46850" w:rsidRPr="00F02A4E">
        <w:t>,</w:t>
      </w:r>
      <w:r w:rsidRPr="00F02A4E">
        <w:t xml:space="preserve"> commitment of hours</w:t>
      </w:r>
      <w:r w:rsidR="00C46850" w:rsidRPr="00F02A4E">
        <w:t xml:space="preserve"> and duration of project</w:t>
      </w:r>
      <w:r w:rsidRPr="00F02A4E">
        <w:t>.</w:t>
      </w:r>
    </w:p>
    <w:p w14:paraId="30A72B0A" w14:textId="542FAB2B" w:rsidR="00877FA9" w:rsidRPr="00F02A4E" w:rsidRDefault="00877FA9" w:rsidP="00FA010D">
      <w:pPr>
        <w:pStyle w:val="Content1"/>
        <w:ind w:hanging="720"/>
      </w:pPr>
      <w:r w:rsidRPr="00F02A4E">
        <w:t xml:space="preserve">Once placed in a program the volunteer will be assigned a supervisor from the relevant work area. A volunteer must be under the direction of a Library officer at all times during the hours of duty. </w:t>
      </w:r>
    </w:p>
    <w:p w14:paraId="43C6679D" w14:textId="77777777" w:rsidR="00877FA9" w:rsidRPr="00F02A4E" w:rsidRDefault="00877FA9" w:rsidP="00877FA9">
      <w:pPr>
        <w:pStyle w:val="Content1"/>
        <w:numPr>
          <w:ilvl w:val="0"/>
          <w:numId w:val="0"/>
        </w:numPr>
        <w:ind w:left="720"/>
      </w:pPr>
    </w:p>
    <w:p w14:paraId="7F6F6113" w14:textId="79D16F9D" w:rsidR="00FA010D" w:rsidRPr="00F02A4E" w:rsidRDefault="00877FA9" w:rsidP="0086306B">
      <w:pPr>
        <w:pStyle w:val="Heading1"/>
        <w:keepLines w:val="0"/>
        <w:numPr>
          <w:ilvl w:val="0"/>
          <w:numId w:val="8"/>
        </w:numPr>
        <w:ind w:left="709" w:hanging="709"/>
        <w:rPr>
          <w:sz w:val="36"/>
          <w:szCs w:val="36"/>
        </w:rPr>
      </w:pPr>
      <w:bookmarkStart w:id="13" w:name="_Toc67480421"/>
      <w:r w:rsidRPr="00F02A4E">
        <w:rPr>
          <w:sz w:val="36"/>
          <w:szCs w:val="36"/>
        </w:rPr>
        <w:t>Volunteer Documentation</w:t>
      </w:r>
      <w:bookmarkEnd w:id="13"/>
    </w:p>
    <w:p w14:paraId="5497684C" w14:textId="4F89035A" w:rsidR="00877FA9" w:rsidRPr="00F02A4E" w:rsidRDefault="00877FA9" w:rsidP="00877FA9">
      <w:pPr>
        <w:pStyle w:val="Content1"/>
        <w:ind w:hanging="720"/>
      </w:pPr>
      <w:r w:rsidRPr="00F02A4E">
        <w:t>Acceptance into the Volunteer Program is subject to the successful completion of the following:</w:t>
      </w:r>
    </w:p>
    <w:p w14:paraId="56526212" w14:textId="2EEB6F1E" w:rsidR="00877FA9" w:rsidRPr="00F02A4E" w:rsidRDefault="00877FA9" w:rsidP="00877FA9">
      <w:pPr>
        <w:pStyle w:val="Content1"/>
        <w:numPr>
          <w:ilvl w:val="0"/>
          <w:numId w:val="15"/>
        </w:numPr>
      </w:pPr>
      <w:r w:rsidRPr="00F02A4E">
        <w:t xml:space="preserve">Volunteer Agreement; </w:t>
      </w:r>
    </w:p>
    <w:p w14:paraId="780374FD" w14:textId="77777777" w:rsidR="00877FA9" w:rsidRPr="00F02A4E" w:rsidRDefault="00877FA9" w:rsidP="00877FA9">
      <w:pPr>
        <w:pStyle w:val="Content1"/>
        <w:numPr>
          <w:ilvl w:val="0"/>
          <w:numId w:val="15"/>
        </w:numPr>
      </w:pPr>
      <w:r w:rsidRPr="00F02A4E">
        <w:t>Statutory Declaration (concerning criminal charges, conflicts of interest and medical conditions); and</w:t>
      </w:r>
    </w:p>
    <w:p w14:paraId="37AC1741" w14:textId="77777777" w:rsidR="00877FA9" w:rsidRPr="00F02A4E" w:rsidRDefault="00877FA9" w:rsidP="00877FA9">
      <w:pPr>
        <w:pStyle w:val="Content1"/>
        <w:numPr>
          <w:ilvl w:val="0"/>
          <w:numId w:val="15"/>
        </w:numPr>
      </w:pPr>
      <w:r w:rsidRPr="00F02A4E">
        <w:t>AFP National Police Check (information released by the AFP would include all unspent offences and offences against the person).</w:t>
      </w:r>
    </w:p>
    <w:p w14:paraId="388B612D" w14:textId="6F2F850F" w:rsidR="00877FA9" w:rsidRPr="00F02A4E" w:rsidRDefault="001B6474" w:rsidP="009F7C48">
      <w:pPr>
        <w:pStyle w:val="Content1"/>
        <w:numPr>
          <w:ilvl w:val="0"/>
          <w:numId w:val="15"/>
        </w:numPr>
      </w:pPr>
      <w:r>
        <w:t xml:space="preserve">For </w:t>
      </w:r>
      <w:r w:rsidR="009D17C6">
        <w:t>front-of-house (</w:t>
      </w:r>
      <w:r>
        <w:t>FOH</w:t>
      </w:r>
      <w:r w:rsidR="009D17C6">
        <w:t>)</w:t>
      </w:r>
      <w:r>
        <w:t xml:space="preserve"> Volunteers</w:t>
      </w:r>
      <w:r w:rsidR="009D17C6">
        <w:t xml:space="preserve"> or volunteers whose role puts them in proximity to children or young people</w:t>
      </w:r>
      <w:r>
        <w:t xml:space="preserve">, </w:t>
      </w:r>
      <w:r w:rsidR="00877FA9" w:rsidRPr="00F02A4E">
        <w:t xml:space="preserve">Working </w:t>
      </w:r>
      <w:proofErr w:type="gramStart"/>
      <w:r w:rsidR="00877FA9" w:rsidRPr="00F02A4E">
        <w:t>With</w:t>
      </w:r>
      <w:proofErr w:type="gramEnd"/>
      <w:r w:rsidR="00877FA9" w:rsidRPr="00F02A4E">
        <w:t xml:space="preserve"> Vulnerable People (WWVP)</w:t>
      </w:r>
      <w:r w:rsidR="00C46850" w:rsidRPr="00F02A4E">
        <w:t xml:space="preserve"> </w:t>
      </w:r>
      <w:r w:rsidR="009D17C6">
        <w:t>check</w:t>
      </w:r>
    </w:p>
    <w:p w14:paraId="19128EF8" w14:textId="77777777" w:rsidR="00877FA9" w:rsidRPr="00F02A4E" w:rsidRDefault="00877FA9" w:rsidP="00C46850">
      <w:pPr>
        <w:pStyle w:val="Content1"/>
        <w:numPr>
          <w:ilvl w:val="0"/>
          <w:numId w:val="0"/>
        </w:numPr>
        <w:ind w:left="1440"/>
      </w:pPr>
    </w:p>
    <w:p w14:paraId="1CF8EEDD" w14:textId="735569EB" w:rsidR="00877FA9" w:rsidRPr="00F02A4E" w:rsidRDefault="00CD1FD9" w:rsidP="00CD1FD9">
      <w:pPr>
        <w:pStyle w:val="Content1"/>
        <w:ind w:hanging="720"/>
      </w:pPr>
      <w:r w:rsidRPr="00F02A4E">
        <w:lastRenderedPageBreak/>
        <w:t>Volunteer Agreements are required to have a project start and end date. All agreements will be subject to review</w:t>
      </w:r>
      <w:r w:rsidR="00665845" w:rsidRPr="00F02A4E">
        <w:t xml:space="preserve">. </w:t>
      </w:r>
    </w:p>
    <w:p w14:paraId="6EEC2370" w14:textId="632233D4" w:rsidR="00FA010D" w:rsidRPr="00F02A4E" w:rsidRDefault="00CD1FD9" w:rsidP="00877FA9">
      <w:pPr>
        <w:pStyle w:val="Content1"/>
        <w:ind w:hanging="720"/>
      </w:pPr>
      <w:r w:rsidRPr="00F02A4E">
        <w:t xml:space="preserve">By signing the Volunteer Agreement the volunteer agrees to the conditions of the volunteer placement. </w:t>
      </w:r>
    </w:p>
    <w:p w14:paraId="29F51D05" w14:textId="77777777" w:rsidR="00CD1FD9" w:rsidRPr="00F02A4E" w:rsidRDefault="00CD1FD9" w:rsidP="00CD1FD9">
      <w:pPr>
        <w:pStyle w:val="Content1"/>
        <w:ind w:hanging="720"/>
      </w:pPr>
      <w:r w:rsidRPr="00F02A4E">
        <w:t>Volunteers are required to adhere to legislation observed by Library staff such as:</w:t>
      </w:r>
    </w:p>
    <w:p w14:paraId="3B671FF5" w14:textId="77777777" w:rsidR="00CD1FD9" w:rsidRPr="00F02A4E" w:rsidRDefault="00CD1FD9" w:rsidP="00CD1FD9">
      <w:pPr>
        <w:pStyle w:val="Content1"/>
        <w:numPr>
          <w:ilvl w:val="0"/>
          <w:numId w:val="18"/>
        </w:numPr>
      </w:pPr>
      <w:r w:rsidRPr="00F02A4E">
        <w:t>APS Values and APS Code of Conduct as defined in the Public Service Act 1999</w:t>
      </w:r>
    </w:p>
    <w:p w14:paraId="7E41DD5B" w14:textId="77777777" w:rsidR="00CD1FD9" w:rsidRPr="00F02A4E" w:rsidRDefault="00CD1FD9" w:rsidP="00CD1FD9">
      <w:pPr>
        <w:pStyle w:val="Content1"/>
        <w:numPr>
          <w:ilvl w:val="0"/>
          <w:numId w:val="17"/>
        </w:numPr>
        <w:spacing w:after="0"/>
        <w:ind w:left="1080"/>
      </w:pPr>
      <w:r w:rsidRPr="00F02A4E">
        <w:t>Privacy Policy (PCY 14/004)</w:t>
      </w:r>
    </w:p>
    <w:p w14:paraId="3FD5E6B7" w14:textId="77777777" w:rsidR="00CD1FD9" w:rsidRPr="00F02A4E" w:rsidRDefault="00886C96" w:rsidP="00CD1FD9">
      <w:pPr>
        <w:spacing w:line="240" w:lineRule="auto"/>
        <w:ind w:left="1080"/>
        <w:rPr>
          <w:rStyle w:val="Hyperlink"/>
          <w:rFonts w:cs="Arial"/>
          <w:szCs w:val="20"/>
        </w:rPr>
      </w:pPr>
      <w:hyperlink r:id="rId10" w:history="1">
        <w:r w:rsidR="00CD1FD9" w:rsidRPr="00F02A4E">
          <w:rPr>
            <w:rStyle w:val="Hyperlink"/>
            <w:rFonts w:cs="Arial"/>
            <w:szCs w:val="20"/>
          </w:rPr>
          <w:t>http://www.nla.gov.au/policy-and-planning/privacy-policy</w:t>
        </w:r>
      </w:hyperlink>
    </w:p>
    <w:p w14:paraId="0C00E1A9" w14:textId="77777777" w:rsidR="00CD1FD9" w:rsidRPr="00F02A4E" w:rsidRDefault="00CD1FD9" w:rsidP="00CD1FD9">
      <w:pPr>
        <w:spacing w:line="240" w:lineRule="auto"/>
        <w:ind w:left="360"/>
        <w:rPr>
          <w:rFonts w:cs="Arial"/>
          <w:i/>
          <w:szCs w:val="20"/>
        </w:rPr>
      </w:pPr>
    </w:p>
    <w:p w14:paraId="136D2273" w14:textId="77777777" w:rsidR="00CD1FD9" w:rsidRPr="00F02A4E" w:rsidRDefault="00CD1FD9" w:rsidP="00CD1FD9">
      <w:pPr>
        <w:pStyle w:val="Content1"/>
        <w:ind w:hanging="720"/>
        <w:rPr>
          <w:rStyle w:val="Hyperlink"/>
          <w:rFonts w:cs="Arial"/>
          <w:i/>
          <w:szCs w:val="20"/>
        </w:rPr>
      </w:pPr>
      <w:r w:rsidRPr="00F02A4E">
        <w:t>Volunteers will be provided with a copy of relevant documents including the Volunteer Program Policy, the Volunteer Handbook and the Essential Guide to Work Health and Safety for Volunteers, developed by a Safe Work Australia.</w:t>
      </w:r>
      <w:r w:rsidRPr="00F02A4E">
        <w:rPr>
          <w:rStyle w:val="Hyperlink"/>
          <w:rFonts w:cs="Arial"/>
          <w:i/>
          <w:szCs w:val="20"/>
        </w:rPr>
        <w:t xml:space="preserve"> </w:t>
      </w:r>
    </w:p>
    <w:p w14:paraId="19095CED" w14:textId="77777777" w:rsidR="00CD1FD9" w:rsidRPr="00F02A4E" w:rsidRDefault="00CD1FD9" w:rsidP="00CD1FD9">
      <w:pPr>
        <w:pStyle w:val="Content1"/>
        <w:numPr>
          <w:ilvl w:val="0"/>
          <w:numId w:val="0"/>
        </w:numPr>
        <w:ind w:left="720"/>
      </w:pPr>
    </w:p>
    <w:p w14:paraId="6BA1578E" w14:textId="215B55BC" w:rsidR="00FA010D" w:rsidRPr="00F02A4E" w:rsidRDefault="00CD1FD9" w:rsidP="0086306B">
      <w:pPr>
        <w:pStyle w:val="Heading1"/>
        <w:keepLines w:val="0"/>
        <w:numPr>
          <w:ilvl w:val="0"/>
          <w:numId w:val="8"/>
        </w:numPr>
        <w:ind w:left="709" w:hanging="709"/>
        <w:rPr>
          <w:sz w:val="36"/>
          <w:szCs w:val="36"/>
        </w:rPr>
      </w:pPr>
      <w:bookmarkStart w:id="14" w:name="_Toc67480422"/>
      <w:r w:rsidRPr="00F02A4E">
        <w:rPr>
          <w:sz w:val="36"/>
          <w:szCs w:val="36"/>
        </w:rPr>
        <w:t>Performance Review</w:t>
      </w:r>
      <w:bookmarkEnd w:id="14"/>
    </w:p>
    <w:p w14:paraId="27A8D00F" w14:textId="04B45E20" w:rsidR="00FA010D" w:rsidRPr="00F02A4E" w:rsidRDefault="00CD1FD9" w:rsidP="00FA010D">
      <w:pPr>
        <w:pStyle w:val="Content1"/>
        <w:ind w:hanging="720"/>
      </w:pPr>
      <w:r w:rsidRPr="00F02A4E">
        <w:t>A two-month probationary period applies to volunteers entering the program. During this time the volunteer supervisor will assess the suitability of the volunteer for the agreed tasks. The volunteer’s supervisor will liaise regularly with the volunteer and the</w:t>
      </w:r>
      <w:r w:rsidR="00665845" w:rsidRPr="00F02A4E">
        <w:t xml:space="preserve"> </w:t>
      </w:r>
      <w:r w:rsidRPr="00F02A4E">
        <w:t>Coordinator</w:t>
      </w:r>
      <w:r w:rsidR="00665845" w:rsidRPr="00F02A4E">
        <w:t>, Volunteer Guides</w:t>
      </w:r>
      <w:r w:rsidRPr="00F02A4E">
        <w:t xml:space="preserve"> and provide feedback to the volunteer to address any issues and to establish a mutually satisfactory placement. </w:t>
      </w:r>
    </w:p>
    <w:p w14:paraId="39069C96" w14:textId="7532ABF9" w:rsidR="00CD1FD9" w:rsidRPr="00F02A4E" w:rsidRDefault="00CD1FD9" w:rsidP="00FA010D">
      <w:pPr>
        <w:pStyle w:val="Content1"/>
        <w:ind w:hanging="720"/>
      </w:pPr>
      <w:r w:rsidRPr="00F02A4E">
        <w:t>If during this time an issue or incident is highlighted, the Coordinator</w:t>
      </w:r>
      <w:r w:rsidR="00665845" w:rsidRPr="00F02A4E">
        <w:t xml:space="preserve">, Volunteer Guides </w:t>
      </w:r>
      <w:r w:rsidRPr="00F02A4E">
        <w:t xml:space="preserve"> will meet with the volunteer and their supervisor separately. If the </w:t>
      </w:r>
      <w:r w:rsidR="00665845" w:rsidRPr="00F02A4E">
        <w:t xml:space="preserve">Coordinator, Volunteer Guides </w:t>
      </w:r>
      <w:r w:rsidRPr="00F02A4E">
        <w:t xml:space="preserve">decides that the agreement is no longer mutually beneficial, the volunteer’s placement may be terminated. </w:t>
      </w:r>
    </w:p>
    <w:p w14:paraId="17ECBB5D" w14:textId="2768869B" w:rsidR="00CD1FD9" w:rsidRPr="00F02A4E" w:rsidRDefault="00CD1FD9" w:rsidP="00CD1FD9">
      <w:pPr>
        <w:pStyle w:val="Content1"/>
        <w:ind w:hanging="720"/>
      </w:pPr>
      <w:r w:rsidRPr="00F02A4E">
        <w:t xml:space="preserve">Volunteers will undergo performance review with the </w:t>
      </w:r>
      <w:r w:rsidR="00665845" w:rsidRPr="00F02A4E">
        <w:t xml:space="preserve">Coordinator, Volunteer Guides </w:t>
      </w:r>
      <w:r w:rsidRPr="00F02A4E">
        <w:t>or their volunteer supervisor during the period of the project in regard to their performance and their demonstrated commitment to the Library’s role.</w:t>
      </w:r>
    </w:p>
    <w:p w14:paraId="66F7F371" w14:textId="7000BE8C" w:rsidR="00CD1FD9" w:rsidRPr="00F02A4E" w:rsidRDefault="00CD1FD9" w:rsidP="00CD1FD9">
      <w:pPr>
        <w:pStyle w:val="Content1"/>
        <w:ind w:hanging="720"/>
      </w:pPr>
      <w:r w:rsidRPr="00F02A4E">
        <w:t>Renewals or extensions are subject to volunteers having met their specified obligations under the previous agreement, and the Library having a suitable and meaningful role for the volunteer.</w:t>
      </w:r>
    </w:p>
    <w:p w14:paraId="679B03AF" w14:textId="40E9301C" w:rsidR="00665845" w:rsidRPr="00F02A4E" w:rsidRDefault="00665845" w:rsidP="00665845">
      <w:pPr>
        <w:pStyle w:val="Content1"/>
        <w:numPr>
          <w:ilvl w:val="0"/>
          <w:numId w:val="0"/>
        </w:numPr>
        <w:ind w:left="720"/>
      </w:pPr>
    </w:p>
    <w:p w14:paraId="4CE76C5A" w14:textId="77777777" w:rsidR="00665845" w:rsidRPr="00F02A4E" w:rsidRDefault="00665845" w:rsidP="00665845">
      <w:pPr>
        <w:pStyle w:val="Content1"/>
        <w:numPr>
          <w:ilvl w:val="0"/>
          <w:numId w:val="0"/>
        </w:numPr>
        <w:ind w:left="720"/>
      </w:pPr>
    </w:p>
    <w:p w14:paraId="1F6DDBE5" w14:textId="77777777" w:rsidR="00CD1FD9" w:rsidRPr="00F02A4E" w:rsidRDefault="00CD1FD9" w:rsidP="00CD1FD9">
      <w:pPr>
        <w:pStyle w:val="Heading1"/>
        <w:keepLines w:val="0"/>
        <w:numPr>
          <w:ilvl w:val="0"/>
          <w:numId w:val="8"/>
        </w:numPr>
        <w:ind w:left="709" w:hanging="709"/>
        <w:rPr>
          <w:sz w:val="36"/>
          <w:szCs w:val="36"/>
        </w:rPr>
      </w:pPr>
      <w:bookmarkStart w:id="15" w:name="_Toc511052722"/>
      <w:bookmarkStart w:id="16" w:name="_Toc67480423"/>
      <w:r w:rsidRPr="00F02A4E">
        <w:rPr>
          <w:sz w:val="36"/>
          <w:szCs w:val="36"/>
        </w:rPr>
        <w:t>Termination of Agreements</w:t>
      </w:r>
      <w:bookmarkEnd w:id="15"/>
      <w:bookmarkEnd w:id="16"/>
    </w:p>
    <w:p w14:paraId="1F54FDEF" w14:textId="77777777" w:rsidR="00CD1FD9" w:rsidRPr="00F02A4E" w:rsidRDefault="00CD1FD9" w:rsidP="00CD1FD9">
      <w:pPr>
        <w:pStyle w:val="Content1"/>
        <w:ind w:hanging="720"/>
      </w:pPr>
      <w:r w:rsidRPr="00F02A4E">
        <w:t>Volunteers are expected to be effective members of the organisation. Unsatisfactory voluntary work and/or inappropriate behaviour may result in termination of the Volunteer Agreement.</w:t>
      </w:r>
    </w:p>
    <w:p w14:paraId="1A9E7F83" w14:textId="58C08548" w:rsidR="00CD1FD9" w:rsidRPr="00F02A4E" w:rsidRDefault="00CD1FD9" w:rsidP="00CD1FD9">
      <w:pPr>
        <w:pStyle w:val="Content1"/>
        <w:ind w:hanging="720"/>
      </w:pPr>
      <w:r w:rsidRPr="00F02A4E">
        <w:t>Volunteers who are absent for more than 12 months from the Program will need to reapply to the Volunteer Program.</w:t>
      </w:r>
    </w:p>
    <w:p w14:paraId="4D8E7538" w14:textId="18CEB456" w:rsidR="00CD1FD9" w:rsidRPr="00F02A4E" w:rsidRDefault="00CD1FD9" w:rsidP="00CD1FD9">
      <w:pPr>
        <w:pStyle w:val="Content1"/>
        <w:ind w:hanging="720"/>
      </w:pPr>
      <w:r w:rsidRPr="00F02A4E">
        <w:lastRenderedPageBreak/>
        <w:t xml:space="preserve">Both the volunteer and the </w:t>
      </w:r>
      <w:r w:rsidR="00665845" w:rsidRPr="00F02A4E">
        <w:t xml:space="preserve">Coordinator, Volunteer Guides </w:t>
      </w:r>
      <w:r w:rsidRPr="00F02A4E">
        <w:t>have the right to terminate the Volunteer Agreement at any time by giving the other written notice to that effect.</w:t>
      </w:r>
    </w:p>
    <w:p w14:paraId="6D33BAC2" w14:textId="77777777" w:rsidR="00CD1FD9" w:rsidRPr="00F02A4E" w:rsidRDefault="00CD1FD9" w:rsidP="00CD1FD9">
      <w:pPr>
        <w:pStyle w:val="Content1"/>
        <w:ind w:hanging="720"/>
      </w:pPr>
      <w:r w:rsidRPr="00F02A4E">
        <w:t>Potential reasons for the termination of agreements include but are not limited to:</w:t>
      </w:r>
    </w:p>
    <w:p w14:paraId="7490A760"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change of personal situation or Library priorities;</w:t>
      </w:r>
    </w:p>
    <w:p w14:paraId="6C71F44D"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ill-health;</w:t>
      </w:r>
    </w:p>
    <w:p w14:paraId="6AB61380"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inability to perform the agreed tasks satisfactorily;</w:t>
      </w:r>
    </w:p>
    <w:p w14:paraId="6616F422" w14:textId="50A7D300"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 xml:space="preserve">inappropriate behaviour towards Library </w:t>
      </w:r>
      <w:r w:rsidR="00665845" w:rsidRPr="00F02A4E">
        <w:rPr>
          <w:rFonts w:cs="Arial"/>
          <w:szCs w:val="20"/>
        </w:rPr>
        <w:t xml:space="preserve">staff or </w:t>
      </w:r>
      <w:r w:rsidRPr="00F02A4E">
        <w:rPr>
          <w:rFonts w:cs="Arial"/>
          <w:szCs w:val="20"/>
        </w:rPr>
        <w:t>visitors;</w:t>
      </w:r>
    </w:p>
    <w:p w14:paraId="19A0A601" w14:textId="36245A97" w:rsidR="00CD1FD9" w:rsidRPr="00F02A4E" w:rsidRDefault="00665845" w:rsidP="00CD1FD9">
      <w:pPr>
        <w:pStyle w:val="ListParagraph"/>
        <w:numPr>
          <w:ilvl w:val="0"/>
          <w:numId w:val="19"/>
        </w:numPr>
        <w:spacing w:line="360" w:lineRule="auto"/>
        <w:ind w:left="1080"/>
        <w:rPr>
          <w:rFonts w:cs="Arial"/>
          <w:szCs w:val="20"/>
        </w:rPr>
      </w:pPr>
      <w:r w:rsidRPr="00F02A4E">
        <w:rPr>
          <w:rFonts w:cs="Arial"/>
          <w:szCs w:val="20"/>
        </w:rPr>
        <w:t>excessive</w:t>
      </w:r>
      <w:r w:rsidR="00CD1FD9" w:rsidRPr="00F02A4E">
        <w:rPr>
          <w:rFonts w:cs="Arial"/>
          <w:szCs w:val="20"/>
        </w:rPr>
        <w:t xml:space="preserve"> staff time taken up by on-the-job training; </w:t>
      </w:r>
    </w:p>
    <w:p w14:paraId="430D2C2F"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 xml:space="preserve">volunteer's style of interaction prevents staff from meeting their work commitments; </w:t>
      </w:r>
    </w:p>
    <w:p w14:paraId="6B64ED46"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 xml:space="preserve">volunteer’s level of attendance is less than agreed; </w:t>
      </w:r>
    </w:p>
    <w:p w14:paraId="19EF8D58" w14:textId="1571BFD0"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volunteer’s contribution is deemed ineffective by the work area</w:t>
      </w:r>
      <w:r w:rsidR="00665845" w:rsidRPr="00F02A4E">
        <w:rPr>
          <w:rFonts w:cs="Arial"/>
          <w:szCs w:val="20"/>
        </w:rPr>
        <w:t xml:space="preserve"> or </w:t>
      </w:r>
      <w:r w:rsidR="00665845" w:rsidRPr="00F02A4E">
        <w:t>Coordinator, Volunteer Guides</w:t>
      </w:r>
      <w:r w:rsidRPr="00F02A4E">
        <w:rPr>
          <w:rFonts w:cs="Arial"/>
          <w:szCs w:val="20"/>
        </w:rPr>
        <w:t xml:space="preserve">; </w:t>
      </w:r>
    </w:p>
    <w:p w14:paraId="160E26A3"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 xml:space="preserve">failure to adhere  to the APS Values and APS Code of Conduct (as defined in the Public Service ACT 1999); and </w:t>
      </w:r>
    </w:p>
    <w:p w14:paraId="37ED0180" w14:textId="77777777" w:rsidR="00CD1FD9" w:rsidRPr="00F02A4E" w:rsidRDefault="00CD1FD9" w:rsidP="00CD1FD9">
      <w:pPr>
        <w:pStyle w:val="ListParagraph"/>
        <w:numPr>
          <w:ilvl w:val="0"/>
          <w:numId w:val="19"/>
        </w:numPr>
        <w:spacing w:line="360" w:lineRule="auto"/>
        <w:ind w:left="1080"/>
        <w:rPr>
          <w:rFonts w:cs="Arial"/>
          <w:szCs w:val="20"/>
        </w:rPr>
      </w:pPr>
      <w:r w:rsidRPr="00F02A4E">
        <w:rPr>
          <w:rFonts w:cs="Arial"/>
          <w:szCs w:val="20"/>
        </w:rPr>
        <w:t>the volunteer uses unsafe work practices in completing assigned tasks</w:t>
      </w:r>
    </w:p>
    <w:p w14:paraId="0D34C743" w14:textId="6BE9CAF5" w:rsidR="00CD1FD9" w:rsidRPr="00F02A4E" w:rsidRDefault="00CD1FD9" w:rsidP="00CD1FD9">
      <w:pPr>
        <w:pStyle w:val="Content1"/>
        <w:ind w:hanging="720"/>
        <w:rPr>
          <w:rFonts w:cs="Arial"/>
          <w:szCs w:val="20"/>
        </w:rPr>
      </w:pPr>
      <w:r w:rsidRPr="00F02A4E">
        <w:t xml:space="preserve">If after reviewing an incident or issue, the </w:t>
      </w:r>
      <w:r w:rsidR="00665845" w:rsidRPr="00F02A4E">
        <w:t xml:space="preserve">Coordinator, Volunteer Guides </w:t>
      </w:r>
      <w:r w:rsidRPr="00F02A4E">
        <w:t>decides that the agreement is no longer mutually beneficial, the volunteer’s placement may be terminated.</w:t>
      </w:r>
      <w:r w:rsidRPr="00F02A4E">
        <w:rPr>
          <w:rFonts w:cs="Arial"/>
          <w:szCs w:val="20"/>
        </w:rPr>
        <w:t xml:space="preserve"> </w:t>
      </w:r>
    </w:p>
    <w:p w14:paraId="5A98CAAB" w14:textId="77777777" w:rsidR="00CD1FD9" w:rsidRPr="00F02A4E" w:rsidRDefault="00CD1FD9" w:rsidP="00CD1FD9">
      <w:pPr>
        <w:pStyle w:val="Heading1"/>
        <w:keepLines w:val="0"/>
        <w:rPr>
          <w:sz w:val="36"/>
          <w:szCs w:val="36"/>
        </w:rPr>
      </w:pPr>
    </w:p>
    <w:p w14:paraId="25AC6441" w14:textId="153EC290" w:rsidR="00CD1FD9" w:rsidRPr="00F02A4E" w:rsidRDefault="00CD1FD9" w:rsidP="00CD1FD9">
      <w:pPr>
        <w:pStyle w:val="Heading1"/>
        <w:keepLines w:val="0"/>
        <w:numPr>
          <w:ilvl w:val="0"/>
          <w:numId w:val="8"/>
        </w:numPr>
        <w:ind w:left="709" w:hanging="709"/>
        <w:rPr>
          <w:sz w:val="36"/>
          <w:szCs w:val="36"/>
        </w:rPr>
      </w:pPr>
      <w:bookmarkStart w:id="17" w:name="_Toc67480424"/>
      <w:r w:rsidRPr="00F02A4E">
        <w:rPr>
          <w:sz w:val="36"/>
          <w:szCs w:val="36"/>
        </w:rPr>
        <w:t>Volunteer Conditions</w:t>
      </w:r>
      <w:bookmarkEnd w:id="17"/>
      <w:r w:rsidRPr="00F02A4E">
        <w:rPr>
          <w:sz w:val="36"/>
          <w:szCs w:val="36"/>
        </w:rPr>
        <w:t xml:space="preserve"> </w:t>
      </w:r>
    </w:p>
    <w:p w14:paraId="23BAB9EC" w14:textId="77777777" w:rsidR="00CD1FD9" w:rsidRPr="00F02A4E" w:rsidRDefault="00CD1FD9" w:rsidP="00CD1FD9">
      <w:pPr>
        <w:pStyle w:val="BodyText"/>
      </w:pPr>
    </w:p>
    <w:p w14:paraId="262457EB" w14:textId="77777777" w:rsidR="00CD1FD9" w:rsidRPr="00F02A4E" w:rsidRDefault="00CD1FD9" w:rsidP="00CD1FD9">
      <w:pPr>
        <w:pStyle w:val="Content1"/>
        <w:spacing w:before="0" w:after="0"/>
        <w:ind w:hanging="720"/>
        <w:rPr>
          <w:b/>
        </w:rPr>
      </w:pPr>
      <w:r w:rsidRPr="00F02A4E">
        <w:rPr>
          <w:b/>
        </w:rPr>
        <w:t>Salary and expenses</w:t>
      </w:r>
    </w:p>
    <w:p w14:paraId="5B4DAC82" w14:textId="181E9FB2" w:rsidR="00CD1FD9" w:rsidRPr="00F02A4E" w:rsidRDefault="00CD1FD9" w:rsidP="00CD1FD9">
      <w:pPr>
        <w:pStyle w:val="Content1"/>
        <w:numPr>
          <w:ilvl w:val="0"/>
          <w:numId w:val="0"/>
        </w:numPr>
        <w:spacing w:before="0" w:after="0"/>
        <w:ind w:left="720"/>
      </w:pPr>
      <w:r w:rsidRPr="00F02A4E">
        <w:t xml:space="preserve">No salary, wages or other financial consideration will be paid to a volunteer. </w:t>
      </w:r>
    </w:p>
    <w:p w14:paraId="4DDFE4C5" w14:textId="2DC2E03F" w:rsidR="00CD1FD9" w:rsidRPr="00F02A4E" w:rsidRDefault="00CD1FD9" w:rsidP="00CD1FD9">
      <w:pPr>
        <w:pStyle w:val="Content1"/>
        <w:spacing w:after="0"/>
        <w:ind w:hanging="720"/>
        <w:rPr>
          <w:b/>
        </w:rPr>
      </w:pPr>
      <w:r w:rsidRPr="00F02A4E">
        <w:rPr>
          <w:b/>
        </w:rPr>
        <w:t>Comcover</w:t>
      </w:r>
    </w:p>
    <w:p w14:paraId="215848D6" w14:textId="2C4F7B96" w:rsidR="00CD1FD9" w:rsidRPr="00F02A4E" w:rsidRDefault="00CD1FD9" w:rsidP="00CD1FD9">
      <w:pPr>
        <w:pStyle w:val="Content1"/>
        <w:numPr>
          <w:ilvl w:val="0"/>
          <w:numId w:val="0"/>
        </w:numPr>
        <w:spacing w:before="0" w:after="0"/>
        <w:ind w:left="720"/>
      </w:pPr>
      <w:r w:rsidRPr="00F02A4E">
        <w:t xml:space="preserve">On commencement a volunteer will be covered by the Library’s insurance coverage administered by Comcover for third party incidents </w:t>
      </w:r>
      <w:r w:rsidR="009D17C6">
        <w:t xml:space="preserve">(public liability) </w:t>
      </w:r>
      <w:r w:rsidRPr="00F02A4E">
        <w:t>and the like.</w:t>
      </w:r>
    </w:p>
    <w:p w14:paraId="52EF0977" w14:textId="7E66AD69" w:rsidR="00CD1FD9" w:rsidRPr="00F02A4E" w:rsidRDefault="00CD1FD9" w:rsidP="00CD1FD9">
      <w:pPr>
        <w:pStyle w:val="Content1"/>
        <w:spacing w:after="0"/>
        <w:ind w:hanging="720"/>
        <w:rPr>
          <w:b/>
        </w:rPr>
      </w:pPr>
      <w:r w:rsidRPr="00F02A4E">
        <w:rPr>
          <w:b/>
        </w:rPr>
        <w:t>Workers Compensation</w:t>
      </w:r>
      <w:r w:rsidRPr="00F02A4E">
        <w:rPr>
          <w:b/>
        </w:rPr>
        <w:br/>
      </w:r>
      <w:r w:rsidRPr="00F02A4E">
        <w:t xml:space="preserve">Volunteers are covered under the Library’s Workers Compensation Scheme (Comcare) for injury or illness sustained as a result of their duties with the Library. All injuries or illness must be reported immediately to the relevant volunteer supervisor and the </w:t>
      </w:r>
      <w:r w:rsidR="00665845" w:rsidRPr="00F02A4E">
        <w:t xml:space="preserve">Coordinator, Volunteer Guides </w:t>
      </w:r>
      <w:r w:rsidRPr="00F02A4E">
        <w:t xml:space="preserve">who will notify the Library’s WHS team. </w:t>
      </w:r>
    </w:p>
    <w:p w14:paraId="374AFE43" w14:textId="77777777" w:rsidR="00CD1FD9" w:rsidRPr="00F02A4E" w:rsidRDefault="00CD1FD9" w:rsidP="00CD1FD9">
      <w:pPr>
        <w:pStyle w:val="Content1"/>
        <w:spacing w:after="0"/>
        <w:ind w:hanging="720"/>
        <w:rPr>
          <w:b/>
        </w:rPr>
      </w:pPr>
      <w:r w:rsidRPr="00F02A4E">
        <w:rPr>
          <w:b/>
        </w:rPr>
        <w:t xml:space="preserve">Security </w:t>
      </w:r>
    </w:p>
    <w:p w14:paraId="5309169F" w14:textId="77777777" w:rsidR="00CD1FD9" w:rsidRPr="00F02A4E" w:rsidRDefault="00CD1FD9" w:rsidP="00CD1FD9">
      <w:pPr>
        <w:pStyle w:val="Content1"/>
        <w:numPr>
          <w:ilvl w:val="0"/>
          <w:numId w:val="0"/>
        </w:numPr>
        <w:spacing w:before="0"/>
        <w:ind w:left="720"/>
      </w:pPr>
      <w:r w:rsidRPr="00F02A4E">
        <w:t>All volunteers will be required to sign a current Statutory Declaration and an AFP National Police check with regard to criminal convictions and conflicts of interest. Volunteers must be willing to provide information for Library security purposes and may be asked to undergo the same security checks required of staff of the Library. Volunteers are required to comply with Library security policies.</w:t>
      </w:r>
    </w:p>
    <w:p w14:paraId="1EB5BA24" w14:textId="77777777" w:rsidR="00CD1FD9" w:rsidRPr="00F02A4E" w:rsidRDefault="00CD1FD9" w:rsidP="00CD1FD9">
      <w:pPr>
        <w:pStyle w:val="Content1"/>
        <w:spacing w:after="0"/>
        <w:ind w:hanging="720"/>
        <w:rPr>
          <w:b/>
        </w:rPr>
      </w:pPr>
      <w:r w:rsidRPr="00F02A4E">
        <w:rPr>
          <w:b/>
        </w:rPr>
        <w:lastRenderedPageBreak/>
        <w:t xml:space="preserve">Intellectual property </w:t>
      </w:r>
    </w:p>
    <w:p w14:paraId="3CB2AB87" w14:textId="77777777" w:rsidR="00CD1FD9" w:rsidRPr="00F02A4E" w:rsidRDefault="00CD1FD9" w:rsidP="00CD1FD9">
      <w:pPr>
        <w:pStyle w:val="Content1"/>
        <w:numPr>
          <w:ilvl w:val="0"/>
          <w:numId w:val="0"/>
        </w:numPr>
        <w:spacing w:before="0"/>
        <w:ind w:left="720"/>
      </w:pPr>
      <w:r w:rsidRPr="00F02A4E">
        <w:t>Intellectual property created by volunteers in the course of their work within the Library is the property of the Library. The title to, and ownership of, intellectual property (including copyright) rests with the Library. This includes written material such as reports, research papers, publications as well as databases, website material, software, artwork, photos and film.</w:t>
      </w:r>
    </w:p>
    <w:p w14:paraId="2D6B3994" w14:textId="77777777" w:rsidR="00CD1FD9" w:rsidRPr="00F02A4E" w:rsidRDefault="00CD1FD9" w:rsidP="00CD1FD9">
      <w:pPr>
        <w:pStyle w:val="Content1"/>
        <w:spacing w:before="0" w:after="0"/>
        <w:ind w:hanging="720"/>
        <w:rPr>
          <w:b/>
        </w:rPr>
      </w:pPr>
      <w:r w:rsidRPr="00F02A4E">
        <w:rPr>
          <w:b/>
        </w:rPr>
        <w:t xml:space="preserve">Removal of Library property </w:t>
      </w:r>
    </w:p>
    <w:p w14:paraId="058CACF3" w14:textId="3676099E" w:rsidR="00CD1FD9" w:rsidRPr="00F02A4E" w:rsidRDefault="00CD1FD9" w:rsidP="00CD1FD9">
      <w:pPr>
        <w:pStyle w:val="Content1"/>
        <w:numPr>
          <w:ilvl w:val="0"/>
          <w:numId w:val="0"/>
        </w:numPr>
        <w:spacing w:before="0"/>
        <w:ind w:left="720"/>
      </w:pPr>
      <w:r w:rsidRPr="00F02A4E">
        <w:t>No item of Library property, including collection material, shall be removed from the Library for any purpose</w:t>
      </w:r>
      <w:r w:rsidR="009F4DB4">
        <w:t xml:space="preserve"> by volunteers</w:t>
      </w:r>
      <w:r w:rsidRPr="00F02A4E">
        <w:t>.</w:t>
      </w:r>
    </w:p>
    <w:p w14:paraId="00D39304" w14:textId="77777777" w:rsidR="00CD1FD9" w:rsidRPr="00F02A4E" w:rsidRDefault="00CD1FD9" w:rsidP="00CD1FD9">
      <w:pPr>
        <w:pStyle w:val="Content1"/>
        <w:spacing w:after="0"/>
        <w:ind w:hanging="720"/>
        <w:rPr>
          <w:b/>
        </w:rPr>
      </w:pPr>
      <w:r w:rsidRPr="00F02A4E">
        <w:rPr>
          <w:rFonts w:cs="Arial"/>
          <w:b/>
        </w:rPr>
        <w:t xml:space="preserve">Induction </w:t>
      </w:r>
    </w:p>
    <w:p w14:paraId="4FBB9E6C" w14:textId="6539FD80" w:rsidR="00CD1FD9" w:rsidRPr="00F02A4E" w:rsidRDefault="00CD1FD9" w:rsidP="00CD1FD9">
      <w:pPr>
        <w:pStyle w:val="Content1"/>
        <w:numPr>
          <w:ilvl w:val="0"/>
          <w:numId w:val="0"/>
        </w:numPr>
        <w:spacing w:before="0"/>
        <w:ind w:left="720"/>
      </w:pPr>
      <w:r w:rsidRPr="00F02A4E">
        <w:rPr>
          <w:rFonts w:cs="Arial"/>
        </w:rPr>
        <w:t xml:space="preserve">All volunteers are required to </w:t>
      </w:r>
      <w:r w:rsidR="001B6474">
        <w:rPr>
          <w:rFonts w:cs="Arial"/>
        </w:rPr>
        <w:t xml:space="preserve">complete the </w:t>
      </w:r>
      <w:r w:rsidRPr="00F02A4E">
        <w:rPr>
          <w:rFonts w:cs="Arial"/>
        </w:rPr>
        <w:t xml:space="preserve">National Library of Australia staff induction and the Work Health and Safety Training courses </w:t>
      </w:r>
      <w:r w:rsidR="00665845" w:rsidRPr="00F02A4E">
        <w:rPr>
          <w:rFonts w:cs="Arial"/>
        </w:rPr>
        <w:t xml:space="preserve">following </w:t>
      </w:r>
      <w:r w:rsidRPr="00F02A4E">
        <w:rPr>
          <w:rFonts w:cs="Arial"/>
        </w:rPr>
        <w:t xml:space="preserve">their commencement in the Volunteer Program.  </w:t>
      </w:r>
    </w:p>
    <w:p w14:paraId="7C45A71A" w14:textId="77777777" w:rsidR="00CD1FD9" w:rsidRPr="00F02A4E" w:rsidRDefault="00CD1FD9" w:rsidP="00CD1FD9">
      <w:pPr>
        <w:pStyle w:val="Content1"/>
        <w:spacing w:after="0"/>
        <w:ind w:hanging="720"/>
        <w:rPr>
          <w:b/>
        </w:rPr>
      </w:pPr>
      <w:r w:rsidRPr="00F02A4E">
        <w:rPr>
          <w:b/>
        </w:rPr>
        <w:t>Privacy</w:t>
      </w:r>
    </w:p>
    <w:p w14:paraId="172895E5" w14:textId="7FA629A0" w:rsidR="00CD1FD9" w:rsidRPr="00F02A4E" w:rsidRDefault="00CD1FD9" w:rsidP="00CD1FD9">
      <w:pPr>
        <w:pStyle w:val="Content1"/>
        <w:numPr>
          <w:ilvl w:val="0"/>
          <w:numId w:val="0"/>
        </w:numPr>
        <w:spacing w:before="0"/>
        <w:ind w:left="709"/>
      </w:pPr>
      <w:r w:rsidRPr="00F02A4E">
        <w:t xml:space="preserve">The personal information about volunteers collected and held by the Library will only be used for the purpose of providing volunteers with information about the Library’s programs, assessing volunteers for projects and activities, and services which may be of interest. The Library will not disclose personal information to </w:t>
      </w:r>
      <w:r w:rsidR="009F4DB4">
        <w:t xml:space="preserve">a </w:t>
      </w:r>
      <w:r w:rsidRPr="00F02A4E">
        <w:t xml:space="preserve">third party unless the consent of the volunteer is obtained, or the Library’s is required or authorised by law to do so. All volunteers are required to adhere to the Library’s Privacy Policy </w:t>
      </w:r>
      <w:r w:rsidRPr="00F02A4E">
        <w:rPr>
          <w:rFonts w:cs="Arial"/>
          <w:szCs w:val="20"/>
        </w:rPr>
        <w:t>PCY 14/004.</w:t>
      </w:r>
    </w:p>
    <w:p w14:paraId="701664C2" w14:textId="77777777" w:rsidR="00CD1FD9" w:rsidRPr="00F02A4E" w:rsidRDefault="00CD1FD9" w:rsidP="00CD1FD9">
      <w:pPr>
        <w:pStyle w:val="BodyText"/>
      </w:pPr>
    </w:p>
    <w:p w14:paraId="115D67F5" w14:textId="4B729BB1" w:rsidR="00CD1FD9" w:rsidRPr="00F02A4E" w:rsidRDefault="00CD1FD9" w:rsidP="0086306B">
      <w:pPr>
        <w:pStyle w:val="Heading1"/>
        <w:keepLines w:val="0"/>
        <w:numPr>
          <w:ilvl w:val="0"/>
          <w:numId w:val="8"/>
        </w:numPr>
        <w:ind w:left="709" w:hanging="709"/>
        <w:rPr>
          <w:sz w:val="36"/>
          <w:szCs w:val="36"/>
        </w:rPr>
      </w:pPr>
      <w:bookmarkStart w:id="18" w:name="_Toc67480425"/>
      <w:r w:rsidRPr="00F02A4E">
        <w:rPr>
          <w:sz w:val="36"/>
          <w:szCs w:val="36"/>
        </w:rPr>
        <w:t>Work Health and Safety Compliance</w:t>
      </w:r>
      <w:bookmarkEnd w:id="18"/>
      <w:r w:rsidRPr="00F02A4E">
        <w:rPr>
          <w:sz w:val="36"/>
          <w:szCs w:val="36"/>
        </w:rPr>
        <w:t xml:space="preserve"> </w:t>
      </w:r>
    </w:p>
    <w:p w14:paraId="4EF6AAA8" w14:textId="77777777" w:rsidR="00CD1FD9" w:rsidRPr="00F02A4E" w:rsidRDefault="00CD1FD9" w:rsidP="00CD1FD9">
      <w:pPr>
        <w:pStyle w:val="Content1"/>
        <w:ind w:hanging="720"/>
      </w:pPr>
      <w:r w:rsidRPr="00F02A4E">
        <w:t xml:space="preserve">The Work Health and Safety Act 2011 applies to the Library. Volunteers are considered ‘workers’ for the purposes of this Act. </w:t>
      </w:r>
    </w:p>
    <w:p w14:paraId="67FDBEE7" w14:textId="77777777" w:rsidR="00CD1FD9" w:rsidRPr="00F02A4E" w:rsidRDefault="00CD1FD9" w:rsidP="00CD1FD9">
      <w:pPr>
        <w:pStyle w:val="Content1"/>
        <w:spacing w:after="0"/>
        <w:ind w:hanging="720"/>
        <w:rPr>
          <w:b/>
        </w:rPr>
      </w:pPr>
      <w:r w:rsidRPr="00F02A4E">
        <w:t xml:space="preserve">As a worker, volunteers have specific legal obligations and responsibilities when undertaking their duties with the Library: </w:t>
      </w:r>
    </w:p>
    <w:p w14:paraId="0C9195E3" w14:textId="77777777" w:rsidR="00CD1FD9" w:rsidRPr="00F02A4E" w:rsidRDefault="00CD1FD9" w:rsidP="00CD1FD9">
      <w:pPr>
        <w:pStyle w:val="Content1"/>
        <w:numPr>
          <w:ilvl w:val="0"/>
          <w:numId w:val="20"/>
        </w:numPr>
        <w:spacing w:after="0"/>
      </w:pPr>
      <w:r w:rsidRPr="00F02A4E">
        <w:t xml:space="preserve">Take reasonable care not to create or increase the risk to their health and safety, or that of others; </w:t>
      </w:r>
    </w:p>
    <w:p w14:paraId="482FE381" w14:textId="77777777" w:rsidR="00CD1FD9" w:rsidRPr="00F02A4E" w:rsidRDefault="00CD1FD9" w:rsidP="00CD1FD9">
      <w:pPr>
        <w:pStyle w:val="Content1"/>
        <w:numPr>
          <w:ilvl w:val="0"/>
          <w:numId w:val="20"/>
        </w:numPr>
        <w:spacing w:after="0"/>
      </w:pPr>
      <w:r w:rsidRPr="00F02A4E">
        <w:t>Cooperate with management is providing a safe and healthy workplace including complying with any reasonable instruction, policy or procedure; and</w:t>
      </w:r>
    </w:p>
    <w:p w14:paraId="7037B4FC" w14:textId="64E3C535" w:rsidR="00CD1FD9" w:rsidRPr="00F02A4E" w:rsidRDefault="00CD1FD9" w:rsidP="00CD1FD9">
      <w:pPr>
        <w:pStyle w:val="Content1"/>
        <w:numPr>
          <w:ilvl w:val="0"/>
          <w:numId w:val="20"/>
        </w:numPr>
        <w:spacing w:after="0"/>
      </w:pPr>
      <w:r w:rsidRPr="00F02A4E">
        <w:t>Report any incidents or hazards immediately to their supervisor</w:t>
      </w:r>
      <w:r w:rsidR="000811ED">
        <w:t xml:space="preserve"> who must lodge a WHS Hazard/Incident ticket to allow appropriate follow up by the Assistant Director Safety, Wellbeing and Inclusion</w:t>
      </w:r>
    </w:p>
    <w:p w14:paraId="0C43ED0D" w14:textId="77777777" w:rsidR="00CD1FD9" w:rsidRPr="00F02A4E" w:rsidRDefault="00CD1FD9" w:rsidP="00CD1FD9">
      <w:pPr>
        <w:pStyle w:val="Content1"/>
        <w:ind w:left="709" w:hanging="720"/>
      </w:pPr>
      <w:r w:rsidRPr="00F02A4E">
        <w:t>Non</w:t>
      </w:r>
      <w:r w:rsidRPr="00F02A4E">
        <w:rPr>
          <w:rFonts w:cs="Arial"/>
          <w:iCs/>
          <w:szCs w:val="20"/>
        </w:rPr>
        <w:t>-compliance by a volunteer with the WHS Act, Regulations, Codes of Practice or the Library’s internal policies or procedures may lead to the volunteer’s</w:t>
      </w:r>
      <w:r w:rsidRPr="00F02A4E">
        <w:rPr>
          <w:rFonts w:cs="Arial"/>
          <w:szCs w:val="20"/>
        </w:rPr>
        <w:t xml:space="preserve"> </w:t>
      </w:r>
      <w:r w:rsidRPr="00F02A4E">
        <w:rPr>
          <w:rFonts w:cs="Arial"/>
          <w:iCs/>
          <w:szCs w:val="20"/>
        </w:rPr>
        <w:t>agreement being terminated.</w:t>
      </w:r>
    </w:p>
    <w:p w14:paraId="24E9C139" w14:textId="34123D29" w:rsidR="00CD1FD9" w:rsidRPr="00F02A4E" w:rsidRDefault="00CD1FD9" w:rsidP="00CD1FD9">
      <w:pPr>
        <w:pStyle w:val="Content1"/>
        <w:ind w:left="709" w:hanging="720"/>
      </w:pPr>
      <w:r w:rsidRPr="00F02A4E">
        <w:t xml:space="preserve">Volunteers can also refer to the Essential Guide to Work Health and Safety for Volunteers, developed by Safe Work Australia. </w:t>
      </w:r>
      <w:hyperlink r:id="rId11" w:history="1">
        <w:r w:rsidR="00665845" w:rsidRPr="00F02A4E">
          <w:rPr>
            <w:rStyle w:val="Hyperlink"/>
          </w:rPr>
          <w:t>https://www.safeworkaustralia.gov.au/doc/essential-guide-work-health-and-safety-volunteers</w:t>
        </w:r>
      </w:hyperlink>
      <w:r w:rsidR="00665845" w:rsidRPr="00F02A4E">
        <w:t xml:space="preserve"> </w:t>
      </w:r>
    </w:p>
    <w:p w14:paraId="06CBAE9E" w14:textId="77777777" w:rsidR="00CD1FD9" w:rsidRPr="00F02A4E" w:rsidRDefault="00CD1FD9" w:rsidP="00CD1FD9">
      <w:pPr>
        <w:pStyle w:val="BodyText"/>
      </w:pPr>
    </w:p>
    <w:p w14:paraId="49EDA34C" w14:textId="2AF24AB4" w:rsidR="00CD1FD9" w:rsidRPr="00F02A4E" w:rsidRDefault="001A0626" w:rsidP="0086306B">
      <w:pPr>
        <w:pStyle w:val="Heading1"/>
        <w:keepLines w:val="0"/>
        <w:numPr>
          <w:ilvl w:val="0"/>
          <w:numId w:val="8"/>
        </w:numPr>
        <w:ind w:left="709" w:hanging="709"/>
        <w:rPr>
          <w:sz w:val="36"/>
          <w:szCs w:val="36"/>
        </w:rPr>
      </w:pPr>
      <w:bookmarkStart w:id="19" w:name="_Toc67480426"/>
      <w:r>
        <w:rPr>
          <w:sz w:val="36"/>
          <w:szCs w:val="36"/>
        </w:rPr>
        <w:t xml:space="preserve">Work Health and Safety </w:t>
      </w:r>
      <w:r w:rsidR="00CD1FD9" w:rsidRPr="00F02A4E">
        <w:rPr>
          <w:sz w:val="36"/>
          <w:szCs w:val="36"/>
        </w:rPr>
        <w:t>Risk Management</w:t>
      </w:r>
      <w:bookmarkEnd w:id="19"/>
      <w:r w:rsidR="00CD1FD9" w:rsidRPr="00F02A4E">
        <w:rPr>
          <w:sz w:val="36"/>
          <w:szCs w:val="36"/>
        </w:rPr>
        <w:t xml:space="preserve"> </w:t>
      </w:r>
    </w:p>
    <w:p w14:paraId="655FE403" w14:textId="77777777" w:rsidR="00CD1FD9" w:rsidRPr="00F02A4E" w:rsidRDefault="00CD1FD9" w:rsidP="00CD1FD9">
      <w:pPr>
        <w:pStyle w:val="BodyText"/>
      </w:pPr>
    </w:p>
    <w:p w14:paraId="7D633475" w14:textId="77777777" w:rsidR="00CD1FD9" w:rsidRPr="00F02A4E" w:rsidRDefault="00CD1FD9" w:rsidP="00CD1FD9">
      <w:pPr>
        <w:pStyle w:val="Content1"/>
        <w:ind w:hanging="720"/>
      </w:pPr>
      <w:r w:rsidRPr="00F02A4E">
        <w:rPr>
          <w:rFonts w:cs="Arial"/>
          <w:szCs w:val="20"/>
        </w:rPr>
        <w:t xml:space="preserve">Section 17 of the </w:t>
      </w:r>
      <w:r w:rsidRPr="00F02A4E">
        <w:rPr>
          <w:rFonts w:cs="Arial"/>
          <w:b/>
          <w:szCs w:val="20"/>
        </w:rPr>
        <w:t>WHS Act</w:t>
      </w:r>
      <w:r w:rsidRPr="00F02A4E">
        <w:rPr>
          <w:rFonts w:cs="Arial"/>
          <w:i/>
          <w:szCs w:val="20"/>
        </w:rPr>
        <w:t xml:space="preserve"> </w:t>
      </w:r>
      <w:r w:rsidRPr="00F02A4E">
        <w:rPr>
          <w:rFonts w:cs="Arial"/>
          <w:szCs w:val="20"/>
        </w:rPr>
        <w:t>sets out that a duty imposed on a person to ensure health and safety requires the person:</w:t>
      </w:r>
    </w:p>
    <w:p w14:paraId="61E06609" w14:textId="77777777" w:rsidR="00CD1FD9" w:rsidRPr="00F02A4E" w:rsidRDefault="00CD1FD9" w:rsidP="00CD1FD9">
      <w:pPr>
        <w:pStyle w:val="Content1"/>
        <w:numPr>
          <w:ilvl w:val="0"/>
          <w:numId w:val="21"/>
        </w:numPr>
        <w:rPr>
          <w:rFonts w:cs="Arial"/>
          <w:szCs w:val="20"/>
        </w:rPr>
      </w:pPr>
      <w:r w:rsidRPr="00F02A4E">
        <w:rPr>
          <w:rFonts w:cs="Arial"/>
          <w:szCs w:val="20"/>
        </w:rPr>
        <w:t>to eliminate risks to health and safety, so far as is reasonably practicable; and</w:t>
      </w:r>
    </w:p>
    <w:p w14:paraId="78B75915" w14:textId="77777777" w:rsidR="00CD1FD9" w:rsidRPr="00F02A4E" w:rsidRDefault="00CD1FD9" w:rsidP="00CD1FD9">
      <w:pPr>
        <w:pStyle w:val="Content1"/>
        <w:numPr>
          <w:ilvl w:val="0"/>
          <w:numId w:val="21"/>
        </w:numPr>
      </w:pPr>
      <w:r w:rsidRPr="00F02A4E">
        <w:rPr>
          <w:rFonts w:cs="Arial"/>
          <w:szCs w:val="20"/>
        </w:rPr>
        <w:t>if it is not reasonably practicable to eliminate risks to health and safety, to minimise those risks so far as is reasonably practicable.</w:t>
      </w:r>
    </w:p>
    <w:p w14:paraId="2CE17776" w14:textId="38F85EF4" w:rsidR="00CD1FD9" w:rsidRPr="00DD568F" w:rsidRDefault="00CD1FD9" w:rsidP="00CD1FD9">
      <w:pPr>
        <w:pStyle w:val="Content1"/>
        <w:ind w:hanging="720"/>
      </w:pPr>
      <w:r w:rsidRPr="00F02A4E">
        <w:rPr>
          <w:rFonts w:cs="Arial"/>
          <w:szCs w:val="20"/>
        </w:rPr>
        <w:t xml:space="preserve">Effective workplace WHS management is the responsibility of all workers. However, subject matter experts including the Assistant Director </w:t>
      </w:r>
      <w:r w:rsidR="0053006D">
        <w:rPr>
          <w:rFonts w:cs="Arial"/>
          <w:szCs w:val="20"/>
        </w:rPr>
        <w:t xml:space="preserve">Safety, Wellbeing &amp; Inclusion </w:t>
      </w:r>
      <w:r w:rsidRPr="00F02A4E">
        <w:rPr>
          <w:rFonts w:cs="Arial"/>
          <w:szCs w:val="20"/>
        </w:rPr>
        <w:t xml:space="preserve"> and Health and Safety Representatives (HSRs) can provide guidance and consultation relating to processes and control strategies for effective risk management plans. </w:t>
      </w:r>
    </w:p>
    <w:p w14:paraId="4E68CB48" w14:textId="37E3473C" w:rsidR="00DD568F" w:rsidRPr="00F02A4E" w:rsidRDefault="00DD568F" w:rsidP="00DD568F">
      <w:pPr>
        <w:pStyle w:val="Content1"/>
        <w:spacing w:before="0" w:after="0"/>
        <w:ind w:hanging="720"/>
      </w:pPr>
      <w:r>
        <w:rPr>
          <w:rFonts w:cs="Arial"/>
          <w:szCs w:val="20"/>
        </w:rPr>
        <w:t xml:space="preserve">The Library’s Work Health and Safety Management System (WHSMS) articulates the Library’s WHS approach </w:t>
      </w:r>
      <w:r w:rsidR="004A285A">
        <w:rPr>
          <w:rFonts w:cs="Arial"/>
          <w:szCs w:val="20"/>
        </w:rPr>
        <w:t>to risk and must be consulted to determine when and how risk should be assessed and managed. The WHSMS includes templates for risk analysis.</w:t>
      </w:r>
    </w:p>
    <w:p w14:paraId="618D2ED8" w14:textId="77777777" w:rsidR="00DD568F" w:rsidRPr="00DD568F" w:rsidRDefault="00CD1FD9" w:rsidP="00CD1FD9">
      <w:pPr>
        <w:pStyle w:val="Content1"/>
        <w:spacing w:before="0" w:after="0"/>
        <w:ind w:hanging="720"/>
      </w:pPr>
      <w:r w:rsidRPr="00F02A4E">
        <w:rPr>
          <w:rFonts w:cs="Arial"/>
          <w:szCs w:val="20"/>
        </w:rPr>
        <w:t xml:space="preserve">Effective risk management requires commitment from leaders responsible for managing and operating a business or undertaking. Continuous promotion, reinforcement, consultation and discussion demonstrate to workers the importance of WHS within the Library and encourages expected behaviours for work health and safety practices and processes. </w:t>
      </w:r>
    </w:p>
    <w:p w14:paraId="50EDD2D6" w14:textId="77777777" w:rsidR="00CD1FD9" w:rsidRPr="00F02A4E" w:rsidRDefault="00CD1FD9" w:rsidP="00CD1FD9">
      <w:pPr>
        <w:pStyle w:val="BodyText"/>
      </w:pPr>
    </w:p>
    <w:p w14:paraId="2CEEB991" w14:textId="77777777" w:rsidR="00963AE3" w:rsidRPr="00F02A4E" w:rsidRDefault="00963AE3" w:rsidP="0086306B">
      <w:pPr>
        <w:pStyle w:val="Heading1"/>
        <w:keepLines w:val="0"/>
        <w:numPr>
          <w:ilvl w:val="0"/>
          <w:numId w:val="8"/>
        </w:numPr>
        <w:ind w:left="709" w:hanging="709"/>
        <w:rPr>
          <w:sz w:val="36"/>
          <w:szCs w:val="36"/>
        </w:rPr>
      </w:pPr>
      <w:bookmarkStart w:id="20" w:name="_Toc67480427"/>
      <w:r w:rsidRPr="00F02A4E">
        <w:rPr>
          <w:sz w:val="36"/>
          <w:szCs w:val="36"/>
        </w:rPr>
        <w:t>Revi</w:t>
      </w:r>
      <w:r w:rsidR="00FA010D" w:rsidRPr="00F02A4E">
        <w:rPr>
          <w:sz w:val="36"/>
          <w:szCs w:val="36"/>
        </w:rPr>
        <w:t>ew and Consultation</w:t>
      </w:r>
      <w:bookmarkEnd w:id="20"/>
    </w:p>
    <w:p w14:paraId="5D51C2C5" w14:textId="16F3D055" w:rsidR="007C5160" w:rsidRPr="00F02A4E" w:rsidRDefault="00FA010D" w:rsidP="00FA010D">
      <w:pPr>
        <w:pStyle w:val="Content1"/>
        <w:ind w:hanging="720"/>
      </w:pPr>
      <w:r w:rsidRPr="00F02A4E">
        <w:t xml:space="preserve">This policy is to be reviewed </w:t>
      </w:r>
      <w:r w:rsidR="00732732">
        <w:t>five</w:t>
      </w:r>
      <w:r w:rsidRPr="00F02A4E">
        <w:t xml:space="preserve"> years from date of effect</w:t>
      </w:r>
      <w:r w:rsidR="009F7C48" w:rsidRPr="00F02A4E">
        <w:t xml:space="preserve">. </w:t>
      </w:r>
    </w:p>
    <w:p w14:paraId="6BAD22AC" w14:textId="6440DF1A" w:rsidR="009F7C48" w:rsidRPr="00F02A4E" w:rsidRDefault="009F7C48" w:rsidP="00FA010D">
      <w:pPr>
        <w:pStyle w:val="Content1"/>
        <w:ind w:hanging="720"/>
      </w:pPr>
      <w:r w:rsidRPr="00F02A4E">
        <w:t xml:space="preserve">The Volunteer Handbook will be revised annually or as required. </w:t>
      </w:r>
    </w:p>
    <w:p w14:paraId="649EAB28" w14:textId="77777777" w:rsidR="007A4375" w:rsidRPr="00F02A4E" w:rsidRDefault="007A4375" w:rsidP="007A4375">
      <w:pPr>
        <w:pStyle w:val="Heading1"/>
        <w:keepLines w:val="0"/>
        <w:ind w:left="709"/>
        <w:rPr>
          <w:sz w:val="36"/>
          <w:szCs w:val="36"/>
        </w:rPr>
      </w:pPr>
    </w:p>
    <w:p w14:paraId="36223841" w14:textId="2C7D792E" w:rsidR="00963AE3" w:rsidRPr="00F02A4E" w:rsidRDefault="007C5160" w:rsidP="0086306B">
      <w:pPr>
        <w:pStyle w:val="Heading1"/>
        <w:keepLines w:val="0"/>
        <w:numPr>
          <w:ilvl w:val="0"/>
          <w:numId w:val="8"/>
        </w:numPr>
        <w:ind w:left="709" w:hanging="709"/>
        <w:rPr>
          <w:sz w:val="36"/>
          <w:szCs w:val="36"/>
        </w:rPr>
      </w:pPr>
      <w:bookmarkStart w:id="21" w:name="_Toc67480428"/>
      <w:r w:rsidRPr="00F02A4E">
        <w:rPr>
          <w:sz w:val="36"/>
          <w:szCs w:val="36"/>
        </w:rPr>
        <w:t>R</w:t>
      </w:r>
      <w:r w:rsidR="00963AE3" w:rsidRPr="00F02A4E">
        <w:rPr>
          <w:sz w:val="36"/>
          <w:szCs w:val="36"/>
        </w:rPr>
        <w:t>eferences and related documents</w:t>
      </w:r>
      <w:bookmarkEnd w:id="21"/>
    </w:p>
    <w:p w14:paraId="59D4EEA0" w14:textId="36190861" w:rsidR="00B85C82" w:rsidRPr="00F02A4E" w:rsidRDefault="00B85C82" w:rsidP="00AB6BD9">
      <w:pPr>
        <w:pStyle w:val="Content1"/>
        <w:ind w:hanging="720"/>
      </w:pPr>
      <w:r w:rsidRPr="00F02A4E">
        <w:t>The following documents and/or legislation were considered when developing this policy</w:t>
      </w:r>
    </w:p>
    <w:p w14:paraId="79634BD3" w14:textId="77777777" w:rsidR="007A4375" w:rsidRPr="00F02A4E" w:rsidRDefault="007A4375" w:rsidP="007A4375">
      <w:pPr>
        <w:pStyle w:val="Content1"/>
        <w:numPr>
          <w:ilvl w:val="0"/>
          <w:numId w:val="0"/>
        </w:numPr>
        <w:ind w:left="720"/>
      </w:pPr>
    </w:p>
    <w:p w14:paraId="5C43E833" w14:textId="71501735" w:rsidR="00CD1FD9" w:rsidRPr="00D54A69" w:rsidRDefault="00CD1FD9" w:rsidP="0086306B">
      <w:pPr>
        <w:numPr>
          <w:ilvl w:val="0"/>
          <w:numId w:val="5"/>
        </w:numPr>
        <w:tabs>
          <w:tab w:val="clear" w:pos="113"/>
          <w:tab w:val="num" w:pos="1134"/>
        </w:tabs>
        <w:spacing w:before="120" w:after="120" w:line="240" w:lineRule="auto"/>
        <w:ind w:left="1134" w:hanging="708"/>
      </w:pPr>
      <w:r w:rsidRPr="00D54A69">
        <w:t xml:space="preserve">Volunteer Program Policy PCY10/018 </w:t>
      </w:r>
      <w:r w:rsidR="00B607D8" w:rsidRPr="00D54A69">
        <w:t>September</w:t>
      </w:r>
      <w:r w:rsidRPr="00D54A69">
        <w:t xml:space="preserve"> </w:t>
      </w:r>
    </w:p>
    <w:p w14:paraId="58D3683C" w14:textId="1CD0594D" w:rsidR="00B85C82" w:rsidRPr="00D54A69" w:rsidRDefault="00CD1FD9" w:rsidP="0086306B">
      <w:pPr>
        <w:numPr>
          <w:ilvl w:val="0"/>
          <w:numId w:val="5"/>
        </w:numPr>
        <w:tabs>
          <w:tab w:val="clear" w:pos="113"/>
          <w:tab w:val="num" w:pos="1134"/>
        </w:tabs>
        <w:spacing w:before="120" w:after="120" w:line="240" w:lineRule="auto"/>
        <w:ind w:left="1134" w:hanging="708"/>
      </w:pPr>
      <w:r w:rsidRPr="00D54A69">
        <w:t xml:space="preserve">Privacy Policy PCY 14/004 </w:t>
      </w:r>
    </w:p>
    <w:p w14:paraId="514F6322" w14:textId="0B70C367" w:rsidR="00CD1FD9" w:rsidRPr="00D54A69" w:rsidRDefault="00CD1FD9" w:rsidP="0086306B">
      <w:pPr>
        <w:numPr>
          <w:ilvl w:val="0"/>
          <w:numId w:val="5"/>
        </w:numPr>
        <w:tabs>
          <w:tab w:val="clear" w:pos="113"/>
          <w:tab w:val="num" w:pos="1134"/>
        </w:tabs>
        <w:spacing w:before="120" w:after="120" w:line="240" w:lineRule="auto"/>
        <w:ind w:left="1134" w:hanging="708"/>
      </w:pPr>
      <w:r w:rsidRPr="00D54A69">
        <w:t>Model Code of Practice:</w:t>
      </w:r>
      <w:r w:rsidR="003257B7" w:rsidRPr="00D54A69">
        <w:t xml:space="preserve"> </w:t>
      </w:r>
      <w:hyperlink r:id="rId12" w:history="1">
        <w:r w:rsidR="003257B7" w:rsidRPr="00D54A69">
          <w:rPr>
            <w:rStyle w:val="Hyperlink"/>
          </w:rPr>
          <w:t>How to Manage Work Health and Safety Risks (201</w:t>
        </w:r>
        <w:r w:rsidR="00D54A69" w:rsidRPr="00D54A69">
          <w:rPr>
            <w:rStyle w:val="Hyperlink"/>
          </w:rPr>
          <w:t>8</w:t>
        </w:r>
        <w:r w:rsidR="003257B7" w:rsidRPr="00D54A69">
          <w:rPr>
            <w:rStyle w:val="Hyperlink"/>
          </w:rPr>
          <w:t>)</w:t>
        </w:r>
      </w:hyperlink>
      <w:r w:rsidRPr="00D54A69">
        <w:t xml:space="preserve"> </w:t>
      </w:r>
    </w:p>
    <w:p w14:paraId="413FA9C1" w14:textId="29922579" w:rsidR="003257B7" w:rsidRPr="001200DA" w:rsidRDefault="00886C96" w:rsidP="003257B7">
      <w:pPr>
        <w:numPr>
          <w:ilvl w:val="0"/>
          <w:numId w:val="5"/>
        </w:numPr>
        <w:tabs>
          <w:tab w:val="clear" w:pos="113"/>
          <w:tab w:val="num" w:pos="1134"/>
        </w:tabs>
        <w:spacing w:before="120" w:after="120" w:line="240" w:lineRule="auto"/>
        <w:ind w:left="1134" w:hanging="708"/>
      </w:pPr>
      <w:hyperlink r:id="rId13" w:history="1">
        <w:r w:rsidR="003257B7" w:rsidRPr="001200DA">
          <w:rPr>
            <w:rStyle w:val="Hyperlink"/>
          </w:rPr>
          <w:t>Work Health and Safety Management System</w:t>
        </w:r>
      </w:hyperlink>
    </w:p>
    <w:p w14:paraId="1ABD16A3" w14:textId="07ADC9CA" w:rsidR="00B85C82" w:rsidRPr="001200DA" w:rsidRDefault="001200DA" w:rsidP="0086306B">
      <w:pPr>
        <w:numPr>
          <w:ilvl w:val="0"/>
          <w:numId w:val="5"/>
        </w:numPr>
        <w:tabs>
          <w:tab w:val="clear" w:pos="113"/>
          <w:tab w:val="num" w:pos="1134"/>
        </w:tabs>
        <w:spacing w:before="120" w:after="120" w:line="240" w:lineRule="auto"/>
        <w:ind w:left="1134" w:hanging="708"/>
        <w:rPr>
          <w:rStyle w:val="Hyperlink"/>
        </w:rPr>
      </w:pPr>
      <w:r w:rsidRPr="001200DA">
        <w:fldChar w:fldCharType="begin"/>
      </w:r>
      <w:r w:rsidRPr="001200DA">
        <w:instrText xml:space="preserve"> HYPERLINK "https://www.safeworkaustralia.gov.au/system/files/documents/2003/model-whs-bill9-december2019.pdf" </w:instrText>
      </w:r>
      <w:r w:rsidRPr="001200DA">
        <w:fldChar w:fldCharType="separate"/>
      </w:r>
      <w:r w:rsidRPr="001200DA">
        <w:rPr>
          <w:rStyle w:val="Hyperlink"/>
        </w:rPr>
        <w:t xml:space="preserve">Model </w:t>
      </w:r>
      <w:r w:rsidR="003257B7" w:rsidRPr="001200DA">
        <w:rPr>
          <w:rStyle w:val="Hyperlink"/>
        </w:rPr>
        <w:t xml:space="preserve">Work Health and Safety </w:t>
      </w:r>
      <w:r w:rsidRPr="001200DA">
        <w:rPr>
          <w:rStyle w:val="Hyperlink"/>
        </w:rPr>
        <w:t>Bill</w:t>
      </w:r>
      <w:r w:rsidR="003257B7" w:rsidRPr="001200DA">
        <w:rPr>
          <w:rStyle w:val="Hyperlink"/>
        </w:rPr>
        <w:t xml:space="preserve"> 201</w:t>
      </w:r>
      <w:r w:rsidRPr="001200DA">
        <w:rPr>
          <w:rStyle w:val="Hyperlink"/>
        </w:rPr>
        <w:t>9</w:t>
      </w:r>
      <w:r w:rsidR="003257B7" w:rsidRPr="001200DA">
        <w:rPr>
          <w:rStyle w:val="Hyperlink"/>
        </w:rPr>
        <w:t xml:space="preserve"> </w:t>
      </w:r>
    </w:p>
    <w:p w14:paraId="631A3757" w14:textId="3001A230" w:rsidR="00B85C82" w:rsidRPr="001200DA" w:rsidRDefault="001200DA" w:rsidP="0086306B">
      <w:pPr>
        <w:numPr>
          <w:ilvl w:val="0"/>
          <w:numId w:val="5"/>
        </w:numPr>
        <w:tabs>
          <w:tab w:val="clear" w:pos="113"/>
          <w:tab w:val="num" w:pos="1134"/>
        </w:tabs>
        <w:spacing w:before="120" w:after="120" w:line="240" w:lineRule="auto"/>
        <w:ind w:left="1134" w:hanging="708"/>
      </w:pPr>
      <w:r w:rsidRPr="001200DA">
        <w:fldChar w:fldCharType="end"/>
      </w:r>
      <w:hyperlink r:id="rId14" w:history="1">
        <w:r w:rsidR="003257B7" w:rsidRPr="001200DA">
          <w:rPr>
            <w:rStyle w:val="Hyperlink"/>
          </w:rPr>
          <w:t>Model Work Health and Safety Regulations 20</w:t>
        </w:r>
        <w:r w:rsidRPr="001200DA">
          <w:rPr>
            <w:rStyle w:val="Hyperlink"/>
          </w:rPr>
          <w:t>21</w:t>
        </w:r>
      </w:hyperlink>
    </w:p>
    <w:p w14:paraId="7FC9F36C" w14:textId="49B7E354" w:rsidR="00B85C82" w:rsidRPr="001200DA" w:rsidRDefault="003257B7" w:rsidP="0086306B">
      <w:pPr>
        <w:numPr>
          <w:ilvl w:val="0"/>
          <w:numId w:val="5"/>
        </w:numPr>
        <w:tabs>
          <w:tab w:val="clear" w:pos="113"/>
          <w:tab w:val="num" w:pos="1134"/>
        </w:tabs>
        <w:spacing w:before="120" w:after="120" w:line="240" w:lineRule="auto"/>
        <w:ind w:left="1134" w:hanging="708"/>
      </w:pPr>
      <w:r w:rsidRPr="001200DA">
        <w:t>Work Health and safety policy PCY14/003 December 2013</w:t>
      </w:r>
    </w:p>
    <w:p w14:paraId="704C53A7" w14:textId="4151B637" w:rsidR="003257B7" w:rsidRPr="001200DA" w:rsidRDefault="003257B7" w:rsidP="0086306B">
      <w:pPr>
        <w:numPr>
          <w:ilvl w:val="0"/>
          <w:numId w:val="5"/>
        </w:numPr>
        <w:tabs>
          <w:tab w:val="clear" w:pos="113"/>
          <w:tab w:val="num" w:pos="1134"/>
        </w:tabs>
        <w:spacing w:before="120" w:after="120" w:line="240" w:lineRule="auto"/>
        <w:ind w:left="1134" w:hanging="708"/>
      </w:pPr>
      <w:r w:rsidRPr="001200DA">
        <w:lastRenderedPageBreak/>
        <w:t xml:space="preserve">Volunteer Handbook </w:t>
      </w:r>
    </w:p>
    <w:p w14:paraId="0926925A" w14:textId="053F71F9" w:rsidR="003257B7" w:rsidRPr="001200DA" w:rsidRDefault="003257B7" w:rsidP="0086306B">
      <w:pPr>
        <w:numPr>
          <w:ilvl w:val="0"/>
          <w:numId w:val="5"/>
        </w:numPr>
        <w:tabs>
          <w:tab w:val="clear" w:pos="113"/>
          <w:tab w:val="num" w:pos="1134"/>
        </w:tabs>
        <w:spacing w:before="120" w:after="120" w:line="240" w:lineRule="auto"/>
        <w:ind w:left="1134" w:hanging="708"/>
      </w:pPr>
      <w:r w:rsidRPr="001200DA">
        <w:t xml:space="preserve">APS Values and APS Code of conduct as defined in the </w:t>
      </w:r>
      <w:r w:rsidR="001B6474" w:rsidRPr="001200DA">
        <w:t>P</w:t>
      </w:r>
      <w:r w:rsidRPr="001200DA">
        <w:t xml:space="preserve">ublic </w:t>
      </w:r>
      <w:r w:rsidR="001B6474" w:rsidRPr="001200DA">
        <w:t>S</w:t>
      </w:r>
      <w:r w:rsidRPr="001200DA">
        <w:t>ervice ACT 1999</w:t>
      </w:r>
    </w:p>
    <w:p w14:paraId="4A64FB94" w14:textId="14074CB4" w:rsidR="003257B7" w:rsidRPr="001200DA" w:rsidRDefault="00886C96" w:rsidP="0086306B">
      <w:pPr>
        <w:numPr>
          <w:ilvl w:val="0"/>
          <w:numId w:val="5"/>
        </w:numPr>
        <w:tabs>
          <w:tab w:val="clear" w:pos="113"/>
          <w:tab w:val="num" w:pos="1134"/>
        </w:tabs>
        <w:spacing w:before="120" w:after="120" w:line="240" w:lineRule="auto"/>
        <w:ind w:left="1134" w:hanging="708"/>
        <w:rPr>
          <w:rStyle w:val="Hyperlink"/>
          <w:color w:val="auto"/>
          <w:u w:val="none"/>
        </w:rPr>
      </w:pPr>
      <w:hyperlink r:id="rId15" w:history="1">
        <w:r w:rsidR="003257B7" w:rsidRPr="001200DA">
          <w:rPr>
            <w:rStyle w:val="Hyperlink"/>
          </w:rPr>
          <w:t>https://www.volunteeringaustralia.org/policy/national-standards-and-supporting-material/</w:t>
        </w:r>
      </w:hyperlink>
    </w:p>
    <w:p w14:paraId="018C68E1" w14:textId="059A2BB0" w:rsidR="00B85C82" w:rsidRPr="001200DA" w:rsidRDefault="00886C96" w:rsidP="00B85C82">
      <w:pPr>
        <w:numPr>
          <w:ilvl w:val="0"/>
          <w:numId w:val="5"/>
        </w:numPr>
        <w:tabs>
          <w:tab w:val="clear" w:pos="113"/>
          <w:tab w:val="num" w:pos="1134"/>
        </w:tabs>
        <w:spacing w:before="120" w:after="120" w:line="240" w:lineRule="auto"/>
        <w:ind w:left="1134" w:hanging="708"/>
      </w:pPr>
      <w:hyperlink r:id="rId16" w:history="1">
        <w:r w:rsidR="003A7782" w:rsidRPr="001200DA">
          <w:rPr>
            <w:rStyle w:val="Hyperlink"/>
          </w:rPr>
          <w:t>https://www.safeworkaustralia.gov.au/doc/essential-guide-work-health-and-safety-volunteers</w:t>
        </w:r>
      </w:hyperlink>
    </w:p>
    <w:p w14:paraId="068AA89A" w14:textId="77777777" w:rsidR="003A7782" w:rsidRPr="00F02A4E" w:rsidRDefault="003A7782" w:rsidP="003A7782">
      <w:pPr>
        <w:spacing w:before="120" w:after="120" w:line="240" w:lineRule="auto"/>
        <w:ind w:left="1134"/>
      </w:pPr>
    </w:p>
    <w:p w14:paraId="02A02FEC" w14:textId="6FC5AF3D" w:rsidR="00B85C82" w:rsidRPr="00F02A4E" w:rsidRDefault="00B85C82" w:rsidP="00AB6BD9">
      <w:pPr>
        <w:pStyle w:val="Content1"/>
        <w:ind w:hanging="720"/>
      </w:pPr>
      <w:r w:rsidRPr="00F02A4E">
        <w:t>The following documents are related to this policy.</w:t>
      </w:r>
    </w:p>
    <w:p w14:paraId="565B1C58" w14:textId="016D65F1" w:rsidR="00B85C82" w:rsidRPr="00F02A4E" w:rsidRDefault="003257B7" w:rsidP="0086306B">
      <w:pPr>
        <w:numPr>
          <w:ilvl w:val="0"/>
          <w:numId w:val="5"/>
        </w:numPr>
        <w:tabs>
          <w:tab w:val="clear" w:pos="113"/>
          <w:tab w:val="num" w:pos="1134"/>
        </w:tabs>
        <w:spacing w:before="120" w:after="120" w:line="240" w:lineRule="auto"/>
        <w:ind w:left="1134" w:hanging="708"/>
      </w:pPr>
      <w:r w:rsidRPr="00F02A4E">
        <w:t xml:space="preserve">Volunteer Application </w:t>
      </w:r>
    </w:p>
    <w:p w14:paraId="005B365F" w14:textId="2CBCA92C" w:rsidR="00B85C82" w:rsidRPr="00F02A4E" w:rsidRDefault="003257B7" w:rsidP="0086306B">
      <w:pPr>
        <w:numPr>
          <w:ilvl w:val="0"/>
          <w:numId w:val="5"/>
        </w:numPr>
        <w:tabs>
          <w:tab w:val="clear" w:pos="113"/>
          <w:tab w:val="num" w:pos="1134"/>
        </w:tabs>
        <w:spacing w:before="120" w:after="120" w:line="240" w:lineRule="auto"/>
        <w:ind w:left="1134" w:hanging="708"/>
      </w:pPr>
      <w:r w:rsidRPr="00F02A4E">
        <w:t xml:space="preserve">Volunteer Agreement </w:t>
      </w:r>
    </w:p>
    <w:p w14:paraId="46418FEF" w14:textId="7C1DC2F2" w:rsidR="00B85C82" w:rsidRPr="00F02A4E" w:rsidRDefault="003257B7" w:rsidP="0086306B">
      <w:pPr>
        <w:numPr>
          <w:ilvl w:val="0"/>
          <w:numId w:val="5"/>
        </w:numPr>
        <w:tabs>
          <w:tab w:val="clear" w:pos="113"/>
          <w:tab w:val="num" w:pos="1134"/>
        </w:tabs>
        <w:spacing w:before="120" w:after="120" w:line="240" w:lineRule="auto"/>
        <w:ind w:left="1134" w:hanging="708"/>
      </w:pPr>
      <w:r w:rsidRPr="00F02A4E">
        <w:t xml:space="preserve">Volunteer Project Proposal </w:t>
      </w:r>
    </w:p>
    <w:p w14:paraId="5C3BB138" w14:textId="5B410E6B" w:rsidR="00B85C82" w:rsidRPr="00F02A4E" w:rsidRDefault="003257B7" w:rsidP="0086306B">
      <w:pPr>
        <w:numPr>
          <w:ilvl w:val="0"/>
          <w:numId w:val="5"/>
        </w:numPr>
        <w:tabs>
          <w:tab w:val="clear" w:pos="113"/>
          <w:tab w:val="num" w:pos="1134"/>
        </w:tabs>
        <w:spacing w:before="120" w:after="120" w:line="240" w:lineRule="auto"/>
        <w:ind w:left="1134" w:hanging="708"/>
      </w:pPr>
      <w:r w:rsidRPr="00F02A4E">
        <w:t xml:space="preserve">Volunteer Handbook </w:t>
      </w:r>
    </w:p>
    <w:p w14:paraId="790AA10F" w14:textId="601C5CE0" w:rsidR="00963AE3" w:rsidRDefault="00963AE3" w:rsidP="003257B7">
      <w:pPr>
        <w:tabs>
          <w:tab w:val="num" w:pos="1134"/>
        </w:tabs>
        <w:spacing w:before="120" w:after="120" w:line="240" w:lineRule="auto"/>
      </w:pPr>
    </w:p>
    <w:sectPr w:rsidR="00963AE3" w:rsidSect="00711CC7">
      <w:footerReference w:type="default" r:id="rId17"/>
      <w:headerReference w:type="first" r:id="rId18"/>
      <w:footerReference w:type="first" r:id="rId19"/>
      <w:pgSz w:w="11907" w:h="16840" w:code="9"/>
      <w:pgMar w:top="2155" w:right="1588" w:bottom="2155" w:left="1588" w:header="720" w:footer="36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9657" w16cex:dateUtc="2021-03-23T23:43:00Z"/>
  <w16cex:commentExtensible w16cex:durableId="240597D4" w16cex:dateUtc="2021-03-23T2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71A4" w14:textId="77777777" w:rsidR="000C7414" w:rsidRDefault="000C7414" w:rsidP="002B1262">
      <w:pPr>
        <w:spacing w:line="240" w:lineRule="auto"/>
      </w:pPr>
      <w:r>
        <w:separator/>
      </w:r>
    </w:p>
  </w:endnote>
  <w:endnote w:type="continuationSeparator" w:id="0">
    <w:p w14:paraId="7690B038" w14:textId="77777777" w:rsidR="000C7414" w:rsidRDefault="000C7414" w:rsidP="002B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ollo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2"/>
      <w:gridCol w:w="794"/>
    </w:tblGrid>
    <w:tr w:rsidR="000C7414" w:rsidRPr="0061578F" w14:paraId="7B7F1A92" w14:textId="77777777" w:rsidTr="00711CC7">
      <w:trPr>
        <w:trHeight w:val="888"/>
      </w:trPr>
      <w:sdt>
        <w:sdtPr>
          <w:alias w:val="Title"/>
          <w:tag w:val="Title"/>
          <w:id w:val="-111362606"/>
          <w:dataBinding w:prefixMappings="xmlns:ns0='http://purl.org/dc/elements/1.1/' xmlns:ns1='http://schemas.openxmlformats.org/package/2006/metadata/core-properties' " w:xpath="/ns1:coreProperties[1]/ns0:title[1]" w:storeItemID="{6C3C8BC8-F283-45AE-878A-BAB7291924A1}"/>
          <w:text/>
        </w:sdtPr>
        <w:sdtEndPr/>
        <w:sdtContent>
          <w:tc>
            <w:tcPr>
              <w:tcW w:w="8732" w:type="dxa"/>
              <w:vAlign w:val="bottom"/>
            </w:tcPr>
            <w:p w14:paraId="5532D418" w14:textId="4FDBE631" w:rsidR="000C7414" w:rsidRPr="0061578F" w:rsidRDefault="008806DF" w:rsidP="000A1DAB">
              <w:pPr>
                <w:pStyle w:val="Footer"/>
                <w:jc w:val="center"/>
                <w:rPr>
                  <w:szCs w:val="14"/>
                </w:rPr>
              </w:pPr>
              <w:r>
                <w:t>ONSITE VOLUNTEER PROGRAM POLICY</w:t>
              </w:r>
            </w:p>
          </w:tc>
        </w:sdtContent>
      </w:sdt>
      <w:tc>
        <w:tcPr>
          <w:tcW w:w="794" w:type="dxa"/>
          <w:vAlign w:val="bottom"/>
        </w:tcPr>
        <w:p w14:paraId="19FF8ADE" w14:textId="77777777" w:rsidR="000C7414" w:rsidRPr="00711CC7" w:rsidRDefault="000C7414" w:rsidP="00711CC7">
          <w:pPr>
            <w:pStyle w:val="Footer"/>
            <w:jc w:val="right"/>
            <w:rPr>
              <w:b/>
            </w:rPr>
          </w:pPr>
          <w:r w:rsidRPr="00711CC7">
            <w:rPr>
              <w:b/>
            </w:rPr>
            <w:fldChar w:fldCharType="begin"/>
          </w:r>
          <w:r w:rsidRPr="00711CC7">
            <w:rPr>
              <w:b/>
            </w:rPr>
            <w:instrText xml:space="preserve"> PAGE   \* MERGEFORMAT </w:instrText>
          </w:r>
          <w:r w:rsidRPr="00711CC7">
            <w:rPr>
              <w:b/>
            </w:rPr>
            <w:fldChar w:fldCharType="separate"/>
          </w:r>
          <w:r>
            <w:rPr>
              <w:b/>
              <w:noProof/>
            </w:rPr>
            <w:t>4</w:t>
          </w:r>
          <w:r w:rsidRPr="00711CC7">
            <w:rPr>
              <w:b/>
            </w:rPr>
            <w:fldChar w:fldCharType="end"/>
          </w:r>
        </w:p>
      </w:tc>
    </w:tr>
  </w:tbl>
  <w:p w14:paraId="562B4E85" w14:textId="77777777" w:rsidR="000C7414" w:rsidRDefault="000C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3612" w14:textId="77777777" w:rsidR="000C7414" w:rsidRPr="00E55FCD" w:rsidRDefault="000C7414" w:rsidP="00594A68">
    <w:pPr>
      <w:pStyle w:val="Footer"/>
    </w:pPr>
    <w:r>
      <w:rPr>
        <w:noProof/>
        <w:lang w:val="en-AU" w:eastAsia="en-AU"/>
      </w:rPr>
      <w:drawing>
        <wp:anchor distT="0" distB="0" distL="114300" distR="114300" simplePos="0" relativeHeight="251662336" behindDoc="1" locked="0" layoutInCell="1" allowOverlap="1" wp14:anchorId="3D8E8110" wp14:editId="1EFA14DC">
          <wp:simplePos x="0" y="0"/>
          <wp:positionH relativeFrom="page">
            <wp:posOffset>5391150</wp:posOffset>
          </wp:positionH>
          <wp:positionV relativeFrom="page">
            <wp:posOffset>9896475</wp:posOffset>
          </wp:positionV>
          <wp:extent cx="2162175" cy="790575"/>
          <wp:effectExtent l="19050" t="0" r="9525" b="0"/>
          <wp:wrapNone/>
          <wp:docPr id="9" name="Picture 9"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8F31" w14:textId="77777777" w:rsidR="000C7414" w:rsidRDefault="000C7414" w:rsidP="002B1262">
      <w:pPr>
        <w:spacing w:line="240" w:lineRule="auto"/>
      </w:pPr>
      <w:r>
        <w:separator/>
      </w:r>
    </w:p>
  </w:footnote>
  <w:footnote w:type="continuationSeparator" w:id="0">
    <w:p w14:paraId="21CE7B61" w14:textId="77777777" w:rsidR="000C7414" w:rsidRDefault="000C7414" w:rsidP="002B1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9F72" w14:textId="77777777" w:rsidR="000C7414" w:rsidRPr="002B1262" w:rsidRDefault="000C7414" w:rsidP="002B1262">
    <w:pPr>
      <w:pStyle w:val="Header"/>
    </w:pPr>
    <w:r>
      <w:rPr>
        <w:noProof/>
        <w:lang w:eastAsia="en-AU"/>
      </w:rPr>
      <w:drawing>
        <wp:anchor distT="0" distB="0" distL="114300" distR="114300" simplePos="0" relativeHeight="251664384" behindDoc="1" locked="1" layoutInCell="1" allowOverlap="1" wp14:anchorId="5E52957C" wp14:editId="213DA0E6">
          <wp:simplePos x="0" y="0"/>
          <wp:positionH relativeFrom="page">
            <wp:posOffset>0</wp:posOffset>
          </wp:positionH>
          <wp:positionV relativeFrom="page">
            <wp:posOffset>9565005</wp:posOffset>
          </wp:positionV>
          <wp:extent cx="1267460" cy="1124585"/>
          <wp:effectExtent l="19050" t="0" r="8890" b="0"/>
          <wp:wrapNone/>
          <wp:docPr id="7"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1"/>
                  <a:stretch>
                    <a:fillRect/>
                  </a:stretch>
                </pic:blipFill>
                <pic:spPr>
                  <a:xfrm>
                    <a:off x="0" y="0"/>
                    <a:ext cx="1267460" cy="1124585"/>
                  </a:xfrm>
                  <a:prstGeom prst="rect">
                    <a:avLst/>
                  </a:prstGeom>
                </pic:spPr>
              </pic:pic>
            </a:graphicData>
          </a:graphic>
        </wp:anchor>
      </w:drawing>
    </w:r>
    <w:r>
      <w:rPr>
        <w:noProof/>
        <w:lang w:eastAsia="en-AU"/>
      </w:rPr>
      <w:drawing>
        <wp:anchor distT="0" distB="0" distL="114300" distR="114300" simplePos="0" relativeHeight="251666432" behindDoc="1" locked="0" layoutInCell="1" allowOverlap="1" wp14:anchorId="54524BC7" wp14:editId="74320248">
          <wp:simplePos x="0" y="0"/>
          <wp:positionH relativeFrom="page">
            <wp:posOffset>0</wp:posOffset>
          </wp:positionH>
          <wp:positionV relativeFrom="page">
            <wp:posOffset>0</wp:posOffset>
          </wp:positionV>
          <wp:extent cx="7553597" cy="581891"/>
          <wp:effectExtent l="19050" t="0" r="9253" b="0"/>
          <wp:wrapNone/>
          <wp:docPr id="8"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a:stretch>
                    <a:fillRect/>
                  </a:stretch>
                </pic:blipFill>
                <pic:spPr>
                  <a:xfrm>
                    <a:off x="0" y="0"/>
                    <a:ext cx="7553597" cy="581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868"/>
    <w:multiLevelType w:val="hybridMultilevel"/>
    <w:tmpl w:val="5FDCE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B20577"/>
    <w:multiLevelType w:val="hybridMultilevel"/>
    <w:tmpl w:val="A1920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A85F49"/>
    <w:multiLevelType w:val="multilevel"/>
    <w:tmpl w:val="A8AA2B46"/>
    <w:styleLink w:val="Bullets"/>
    <w:lvl w:ilvl="0">
      <w:start w:val="1"/>
      <w:numFmt w:val="bullet"/>
      <w:pStyle w:val="ListBullet"/>
      <w:lvlText w:val="▪"/>
      <w:lvlJc w:val="left"/>
      <w:pPr>
        <w:tabs>
          <w:tab w:val="num" w:pos="284"/>
        </w:tabs>
        <w:ind w:left="284" w:hanging="284"/>
      </w:pPr>
      <w:rPr>
        <w:rFonts w:ascii="Arial" w:hAnsi="Arial" w:hint="default"/>
        <w:sz w:val="20"/>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851"/>
        </w:tabs>
        <w:ind w:left="851" w:hanging="284"/>
      </w:pPr>
      <w:rPr>
        <w:rFonts w:ascii="Arial" w:hAnsi="Arial" w:hint="default"/>
        <w:sz w:val="20"/>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072F4EB1"/>
    <w:multiLevelType w:val="hybridMultilevel"/>
    <w:tmpl w:val="4634AF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664FD1"/>
    <w:multiLevelType w:val="hybridMultilevel"/>
    <w:tmpl w:val="3C5CF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87018E"/>
    <w:multiLevelType w:val="hybridMultilevel"/>
    <w:tmpl w:val="AAEA4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DD2EAE"/>
    <w:multiLevelType w:val="hybridMultilevel"/>
    <w:tmpl w:val="3C5CF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55108A"/>
    <w:multiLevelType w:val="hybridMultilevel"/>
    <w:tmpl w:val="5026341C"/>
    <w:lvl w:ilvl="0" w:tplc="12E07392">
      <w:start w:val="1"/>
      <w:numFmt w:val="bullet"/>
      <w:lvlText w:val=""/>
      <w:lvlJc w:val="left"/>
      <w:pPr>
        <w:tabs>
          <w:tab w:val="num" w:pos="113"/>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A6755"/>
    <w:multiLevelType w:val="multilevel"/>
    <w:tmpl w:val="FDA0AC9C"/>
    <w:lvl w:ilvl="0">
      <w:start w:val="1"/>
      <w:numFmt w:val="decimal"/>
      <w:lvlText w:val="%1."/>
      <w:lvlJc w:val="left"/>
      <w:pPr>
        <w:ind w:left="1080" w:hanging="720"/>
      </w:pPr>
      <w:rPr>
        <w:rFonts w:hint="default"/>
        <w:sz w:val="36"/>
        <w:szCs w:val="36"/>
      </w:rPr>
    </w:lvl>
    <w:lvl w:ilvl="1">
      <w:start w:val="1"/>
      <w:numFmt w:val="decimal"/>
      <w:pStyle w:val="Content1"/>
      <w:isLgl/>
      <w:lvlText w:val="%1.%2"/>
      <w:lvlJc w:val="left"/>
      <w:pPr>
        <w:ind w:left="720" w:hanging="360"/>
      </w:pPr>
      <w:rPr>
        <w:rFonts w:hint="default"/>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F95F4D"/>
    <w:multiLevelType w:val="hybridMultilevel"/>
    <w:tmpl w:val="BA421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378E5"/>
    <w:multiLevelType w:val="multilevel"/>
    <w:tmpl w:val="844E2656"/>
    <w:styleLink w:val="Numberedlist"/>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right"/>
      <w:pPr>
        <w:tabs>
          <w:tab w:val="num" w:pos="851"/>
        </w:tabs>
        <w:ind w:left="851" w:hanging="284"/>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1" w15:restartNumberingAfterBreak="0">
    <w:nsid w:val="26BD6904"/>
    <w:multiLevelType w:val="hybridMultilevel"/>
    <w:tmpl w:val="F5B6FB4C"/>
    <w:lvl w:ilvl="0" w:tplc="0C090001">
      <w:start w:val="1"/>
      <w:numFmt w:val="bullet"/>
      <w:lvlText w:val=""/>
      <w:lvlJc w:val="left"/>
      <w:pPr>
        <w:ind w:left="1605" w:hanging="360"/>
      </w:pPr>
      <w:rPr>
        <w:rFonts w:ascii="Symbol" w:hAnsi="Symbol" w:hint="default"/>
      </w:rPr>
    </w:lvl>
    <w:lvl w:ilvl="1" w:tplc="0C090003" w:tentative="1">
      <w:start w:val="1"/>
      <w:numFmt w:val="bullet"/>
      <w:lvlText w:val="o"/>
      <w:lvlJc w:val="left"/>
      <w:pPr>
        <w:ind w:left="2325" w:hanging="360"/>
      </w:pPr>
      <w:rPr>
        <w:rFonts w:ascii="Courier New" w:hAnsi="Courier New" w:cs="Courier New" w:hint="default"/>
      </w:rPr>
    </w:lvl>
    <w:lvl w:ilvl="2" w:tplc="0C090005" w:tentative="1">
      <w:start w:val="1"/>
      <w:numFmt w:val="bullet"/>
      <w:lvlText w:val=""/>
      <w:lvlJc w:val="left"/>
      <w:pPr>
        <w:ind w:left="3045" w:hanging="360"/>
      </w:pPr>
      <w:rPr>
        <w:rFonts w:ascii="Wingdings" w:hAnsi="Wingdings" w:hint="default"/>
      </w:rPr>
    </w:lvl>
    <w:lvl w:ilvl="3" w:tplc="0C090001" w:tentative="1">
      <w:start w:val="1"/>
      <w:numFmt w:val="bullet"/>
      <w:lvlText w:val=""/>
      <w:lvlJc w:val="left"/>
      <w:pPr>
        <w:ind w:left="3765" w:hanging="360"/>
      </w:pPr>
      <w:rPr>
        <w:rFonts w:ascii="Symbol" w:hAnsi="Symbol" w:hint="default"/>
      </w:rPr>
    </w:lvl>
    <w:lvl w:ilvl="4" w:tplc="0C090003" w:tentative="1">
      <w:start w:val="1"/>
      <w:numFmt w:val="bullet"/>
      <w:lvlText w:val="o"/>
      <w:lvlJc w:val="left"/>
      <w:pPr>
        <w:ind w:left="4485" w:hanging="360"/>
      </w:pPr>
      <w:rPr>
        <w:rFonts w:ascii="Courier New" w:hAnsi="Courier New" w:cs="Courier New" w:hint="default"/>
      </w:rPr>
    </w:lvl>
    <w:lvl w:ilvl="5" w:tplc="0C090005" w:tentative="1">
      <w:start w:val="1"/>
      <w:numFmt w:val="bullet"/>
      <w:lvlText w:val=""/>
      <w:lvlJc w:val="left"/>
      <w:pPr>
        <w:ind w:left="5205" w:hanging="360"/>
      </w:pPr>
      <w:rPr>
        <w:rFonts w:ascii="Wingdings" w:hAnsi="Wingdings" w:hint="default"/>
      </w:rPr>
    </w:lvl>
    <w:lvl w:ilvl="6" w:tplc="0C090001" w:tentative="1">
      <w:start w:val="1"/>
      <w:numFmt w:val="bullet"/>
      <w:lvlText w:val=""/>
      <w:lvlJc w:val="left"/>
      <w:pPr>
        <w:ind w:left="5925" w:hanging="360"/>
      </w:pPr>
      <w:rPr>
        <w:rFonts w:ascii="Symbol" w:hAnsi="Symbol" w:hint="default"/>
      </w:rPr>
    </w:lvl>
    <w:lvl w:ilvl="7" w:tplc="0C090003" w:tentative="1">
      <w:start w:val="1"/>
      <w:numFmt w:val="bullet"/>
      <w:lvlText w:val="o"/>
      <w:lvlJc w:val="left"/>
      <w:pPr>
        <w:ind w:left="6645" w:hanging="360"/>
      </w:pPr>
      <w:rPr>
        <w:rFonts w:ascii="Courier New" w:hAnsi="Courier New" w:cs="Courier New" w:hint="default"/>
      </w:rPr>
    </w:lvl>
    <w:lvl w:ilvl="8" w:tplc="0C090005" w:tentative="1">
      <w:start w:val="1"/>
      <w:numFmt w:val="bullet"/>
      <w:lvlText w:val=""/>
      <w:lvlJc w:val="left"/>
      <w:pPr>
        <w:ind w:left="7365" w:hanging="360"/>
      </w:pPr>
      <w:rPr>
        <w:rFonts w:ascii="Wingdings" w:hAnsi="Wingdings" w:hint="default"/>
      </w:rPr>
    </w:lvl>
  </w:abstractNum>
  <w:abstractNum w:abstractNumId="12" w15:restartNumberingAfterBreak="0">
    <w:nsid w:val="29CB7977"/>
    <w:multiLevelType w:val="hybridMultilevel"/>
    <w:tmpl w:val="3C5CF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A72B9F"/>
    <w:multiLevelType w:val="multilevel"/>
    <w:tmpl w:val="AFA4ABF0"/>
    <w:styleLink w:val="Numbering-NLA"/>
    <w:lvl w:ilvl="0">
      <w:start w:val="1"/>
      <w:numFmt w:val="decimal"/>
      <w:pStyle w:val="Heading-NLA"/>
      <w:lvlText w:val="%1."/>
      <w:lvlJc w:val="left"/>
      <w:pPr>
        <w:ind w:left="360" w:hanging="360"/>
      </w:pPr>
      <w:rPr>
        <w:rFonts w:ascii="Arial" w:hAnsi="Arial" w:hint="default"/>
        <w:b/>
        <w:sz w:val="32"/>
      </w:rPr>
    </w:lvl>
    <w:lvl w:ilvl="1">
      <w:start w:val="1"/>
      <w:numFmt w:val="decimal"/>
      <w:lvlText w:val="%1.%2"/>
      <w:lvlJc w:val="left"/>
      <w:pPr>
        <w:ind w:left="360" w:hanging="360"/>
      </w:pPr>
      <w:rPr>
        <w:rFonts w:ascii="Arial" w:hAnsi="Arial" w:hint="default"/>
        <w:b/>
        <w:sz w:val="24"/>
      </w:rPr>
    </w:lvl>
    <w:lvl w:ilvl="2">
      <w:start w:val="1"/>
      <w:numFmt w:val="decimal"/>
      <w:lvlText w:val="%1.%2.%3"/>
      <w:lvlJc w:val="left"/>
      <w:pPr>
        <w:ind w:left="720" w:hanging="720"/>
      </w:pPr>
      <w:rPr>
        <w:rFonts w:ascii="Arial" w:hAnsi="Arial" w:hint="default"/>
        <w:sz w:val="20"/>
      </w:rPr>
    </w:lvl>
    <w:lvl w:ilvl="3">
      <w:start w:val="1"/>
      <w:numFmt w:val="lowerLetter"/>
      <w:lvlText w:val="%1.%2.%3.%4"/>
      <w:lvlJc w:val="left"/>
      <w:pPr>
        <w:ind w:left="1440" w:hanging="720"/>
      </w:pPr>
      <w:rPr>
        <w:rFonts w:ascii="Arial" w:hAnsi="Arial" w:hint="default"/>
        <w:sz w:val="20"/>
      </w:rPr>
    </w:lvl>
    <w:lvl w:ilvl="4">
      <w:start w:val="1"/>
      <w:numFmt w:val="lowerRoman"/>
      <w:lvlText w:val="%1.%2.%3.%4.%5"/>
      <w:lvlJc w:val="left"/>
      <w:pPr>
        <w:ind w:left="1800" w:hanging="1080"/>
      </w:pPr>
      <w:rPr>
        <w:rFonts w:ascii="Arial" w:hAnsi="Arial"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8758B"/>
    <w:multiLevelType w:val="hybridMultilevel"/>
    <w:tmpl w:val="4D563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4570AB6"/>
    <w:multiLevelType w:val="multilevel"/>
    <w:tmpl w:val="AFA4ABF0"/>
    <w:numStyleLink w:val="Numbering-NLA"/>
  </w:abstractNum>
  <w:abstractNum w:abstractNumId="16" w15:restartNumberingAfterBreak="0">
    <w:nsid w:val="4B8E49B5"/>
    <w:multiLevelType w:val="hybridMultilevel"/>
    <w:tmpl w:val="C7EA16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1B06D4C"/>
    <w:multiLevelType w:val="hybridMultilevel"/>
    <w:tmpl w:val="9DB496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FB96A69"/>
    <w:multiLevelType w:val="hybridMultilevel"/>
    <w:tmpl w:val="3E9C4C9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2"/>
  </w:num>
  <w:num w:numId="3">
    <w:abstractNumId w:val="2"/>
    <w:lvlOverride w:ilvl="1">
      <w:lvl w:ilvl="1">
        <w:start w:val="1"/>
        <w:numFmt w:val="bullet"/>
        <w:pStyle w:val="ListBullet2"/>
        <w:lvlText w:val=""/>
        <w:lvlJc w:val="left"/>
        <w:pPr>
          <w:tabs>
            <w:tab w:val="num" w:pos="567"/>
          </w:tabs>
          <w:ind w:left="567" w:hanging="283"/>
        </w:pPr>
        <w:rPr>
          <w:rFonts w:ascii="Symbol" w:hAnsi="Symbol" w:hint="default"/>
        </w:rPr>
      </w:lvl>
    </w:lvlOverride>
  </w:num>
  <w:num w:numId="4">
    <w:abstractNumId w:val="10"/>
    <w:lvlOverride w:ilvl="0">
      <w:lvl w:ilvl="0">
        <w:start w:val="1"/>
        <w:numFmt w:val="decimal"/>
        <w:pStyle w:val="ListNumber"/>
        <w:lvlText w:val="%1."/>
        <w:lvlJc w:val="left"/>
        <w:pPr>
          <w:tabs>
            <w:tab w:val="num" w:pos="284"/>
          </w:tabs>
          <w:ind w:left="284" w:hanging="284"/>
        </w:pPr>
        <w:rPr>
          <w:rFonts w:hint="default"/>
        </w:rPr>
      </w:lvl>
    </w:lvlOverride>
    <w:lvlOverride w:ilvl="1">
      <w:lvl w:ilvl="1">
        <w:start w:val="1"/>
        <w:numFmt w:val="lowerLetter"/>
        <w:pStyle w:val="ListNumber2"/>
        <w:lvlText w:val="(%2)"/>
        <w:lvlJc w:val="left"/>
        <w:pPr>
          <w:tabs>
            <w:tab w:val="num" w:pos="567"/>
          </w:tabs>
          <w:ind w:left="567" w:hanging="283"/>
        </w:pPr>
        <w:rPr>
          <w:rFonts w:hint="default"/>
        </w:rPr>
      </w:lvl>
    </w:lvlOverride>
  </w:num>
  <w:num w:numId="5">
    <w:abstractNumId w:val="7"/>
  </w:num>
  <w:num w:numId="6">
    <w:abstractNumId w:val="13"/>
  </w:num>
  <w:num w:numId="7">
    <w:abstractNumId w:val="15"/>
    <w:lvlOverride w:ilvl="0">
      <w:lvl w:ilvl="0">
        <w:numFmt w:val="decimal"/>
        <w:pStyle w:val="Heading-NLA"/>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ascii="Arial" w:hAnsi="Arial" w:hint="default"/>
          <w:b w:val="0"/>
          <w:bCs/>
          <w:sz w:val="20"/>
        </w:rPr>
      </w:lvl>
    </w:lvlOverride>
  </w:num>
  <w:num w:numId="8">
    <w:abstractNumId w:val="8"/>
  </w:num>
  <w:num w:numId="9">
    <w:abstractNumId w:val="12"/>
  </w:num>
  <w:num w:numId="10">
    <w:abstractNumId w:val="6"/>
  </w:num>
  <w:num w:numId="11">
    <w:abstractNumId w:val="4"/>
  </w:num>
  <w:num w:numId="12">
    <w:abstractNumId w:val="1"/>
  </w:num>
  <w:num w:numId="13">
    <w:abstractNumId w:val="0"/>
  </w:num>
  <w:num w:numId="14">
    <w:abstractNumId w:val="18"/>
  </w:num>
  <w:num w:numId="15">
    <w:abstractNumId w:val="14"/>
  </w:num>
  <w:num w:numId="16">
    <w:abstractNumId w:val="17"/>
  </w:num>
  <w:num w:numId="17">
    <w:abstractNumId w:val="3"/>
  </w:num>
  <w:num w:numId="18">
    <w:abstractNumId w:val="16"/>
  </w:num>
  <w:num w:numId="19">
    <w:abstractNumId w:val="9"/>
  </w:num>
  <w:num w:numId="20">
    <w:abstractNumId w:val="11"/>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AC"/>
    <w:rsid w:val="00001511"/>
    <w:rsid w:val="00004686"/>
    <w:rsid w:val="00027420"/>
    <w:rsid w:val="00032B81"/>
    <w:rsid w:val="0004396B"/>
    <w:rsid w:val="00067CC1"/>
    <w:rsid w:val="00067ED1"/>
    <w:rsid w:val="000769B9"/>
    <w:rsid w:val="000811ED"/>
    <w:rsid w:val="000A1DAB"/>
    <w:rsid w:val="000A4799"/>
    <w:rsid w:val="000B5545"/>
    <w:rsid w:val="000C7414"/>
    <w:rsid w:val="000D2B0B"/>
    <w:rsid w:val="000D7BBF"/>
    <w:rsid w:val="00101BB0"/>
    <w:rsid w:val="00117F93"/>
    <w:rsid w:val="001200DA"/>
    <w:rsid w:val="00121250"/>
    <w:rsid w:val="001249A6"/>
    <w:rsid w:val="001411FB"/>
    <w:rsid w:val="001853AC"/>
    <w:rsid w:val="001A0626"/>
    <w:rsid w:val="001A2232"/>
    <w:rsid w:val="001B6474"/>
    <w:rsid w:val="001C4877"/>
    <w:rsid w:val="001C5332"/>
    <w:rsid w:val="002148CE"/>
    <w:rsid w:val="0022145B"/>
    <w:rsid w:val="002233C8"/>
    <w:rsid w:val="002246A9"/>
    <w:rsid w:val="00256EB8"/>
    <w:rsid w:val="00264F6D"/>
    <w:rsid w:val="002758C4"/>
    <w:rsid w:val="00280CBE"/>
    <w:rsid w:val="002B04C3"/>
    <w:rsid w:val="002B1262"/>
    <w:rsid w:val="003022E7"/>
    <w:rsid w:val="003257B7"/>
    <w:rsid w:val="00355052"/>
    <w:rsid w:val="00357927"/>
    <w:rsid w:val="00365B39"/>
    <w:rsid w:val="0036735B"/>
    <w:rsid w:val="00370900"/>
    <w:rsid w:val="003A7782"/>
    <w:rsid w:val="003C137A"/>
    <w:rsid w:val="003D6294"/>
    <w:rsid w:val="003F3508"/>
    <w:rsid w:val="003F4302"/>
    <w:rsid w:val="00407006"/>
    <w:rsid w:val="00460D7D"/>
    <w:rsid w:val="00467E7C"/>
    <w:rsid w:val="004830F7"/>
    <w:rsid w:val="00492881"/>
    <w:rsid w:val="004A285A"/>
    <w:rsid w:val="004D024F"/>
    <w:rsid w:val="00500EB5"/>
    <w:rsid w:val="005221E5"/>
    <w:rsid w:val="005238C0"/>
    <w:rsid w:val="0053006D"/>
    <w:rsid w:val="005357EE"/>
    <w:rsid w:val="0054435B"/>
    <w:rsid w:val="00552D30"/>
    <w:rsid w:val="0056427E"/>
    <w:rsid w:val="00573E83"/>
    <w:rsid w:val="00594A68"/>
    <w:rsid w:val="005C49A3"/>
    <w:rsid w:val="005D1C09"/>
    <w:rsid w:val="005D649B"/>
    <w:rsid w:val="0061578F"/>
    <w:rsid w:val="00636944"/>
    <w:rsid w:val="0063742E"/>
    <w:rsid w:val="00665845"/>
    <w:rsid w:val="00681140"/>
    <w:rsid w:val="006A6B70"/>
    <w:rsid w:val="006E291C"/>
    <w:rsid w:val="006E48CB"/>
    <w:rsid w:val="00711CC7"/>
    <w:rsid w:val="00720F4D"/>
    <w:rsid w:val="00721431"/>
    <w:rsid w:val="00724649"/>
    <w:rsid w:val="00732732"/>
    <w:rsid w:val="00734862"/>
    <w:rsid w:val="0074450D"/>
    <w:rsid w:val="00767FEC"/>
    <w:rsid w:val="00785013"/>
    <w:rsid w:val="00792FBB"/>
    <w:rsid w:val="007A4375"/>
    <w:rsid w:val="007A483D"/>
    <w:rsid w:val="007B4ADB"/>
    <w:rsid w:val="007C5160"/>
    <w:rsid w:val="0081424D"/>
    <w:rsid w:val="008152E9"/>
    <w:rsid w:val="008225F7"/>
    <w:rsid w:val="00822955"/>
    <w:rsid w:val="00835F2D"/>
    <w:rsid w:val="008544BF"/>
    <w:rsid w:val="0086306B"/>
    <w:rsid w:val="00876845"/>
    <w:rsid w:val="00877FA9"/>
    <w:rsid w:val="008806DF"/>
    <w:rsid w:val="00886C96"/>
    <w:rsid w:val="00887E88"/>
    <w:rsid w:val="00896CDC"/>
    <w:rsid w:val="008C3BB0"/>
    <w:rsid w:val="008C7872"/>
    <w:rsid w:val="008D4F47"/>
    <w:rsid w:val="00907FA3"/>
    <w:rsid w:val="00920D97"/>
    <w:rsid w:val="00922AE6"/>
    <w:rsid w:val="009366EF"/>
    <w:rsid w:val="0094743A"/>
    <w:rsid w:val="00963AE3"/>
    <w:rsid w:val="00973F4F"/>
    <w:rsid w:val="00980F8C"/>
    <w:rsid w:val="00990F24"/>
    <w:rsid w:val="009A0BE6"/>
    <w:rsid w:val="009A1C66"/>
    <w:rsid w:val="009C1D98"/>
    <w:rsid w:val="009D17C6"/>
    <w:rsid w:val="009F02F2"/>
    <w:rsid w:val="009F4DB4"/>
    <w:rsid w:val="009F7C48"/>
    <w:rsid w:val="00A01390"/>
    <w:rsid w:val="00A141DA"/>
    <w:rsid w:val="00A15F9B"/>
    <w:rsid w:val="00A37D2B"/>
    <w:rsid w:val="00A45E42"/>
    <w:rsid w:val="00A52B4C"/>
    <w:rsid w:val="00A634DF"/>
    <w:rsid w:val="00A83AE8"/>
    <w:rsid w:val="00A84EDD"/>
    <w:rsid w:val="00A950F1"/>
    <w:rsid w:val="00AB6BD9"/>
    <w:rsid w:val="00AC4DB7"/>
    <w:rsid w:val="00AD3948"/>
    <w:rsid w:val="00AF47E0"/>
    <w:rsid w:val="00AF6CE9"/>
    <w:rsid w:val="00B06B8F"/>
    <w:rsid w:val="00B07ABD"/>
    <w:rsid w:val="00B26341"/>
    <w:rsid w:val="00B40E90"/>
    <w:rsid w:val="00B459C5"/>
    <w:rsid w:val="00B52535"/>
    <w:rsid w:val="00B607D8"/>
    <w:rsid w:val="00B808FB"/>
    <w:rsid w:val="00B812D1"/>
    <w:rsid w:val="00B818F7"/>
    <w:rsid w:val="00B85C82"/>
    <w:rsid w:val="00B93E30"/>
    <w:rsid w:val="00BA2406"/>
    <w:rsid w:val="00BA3FCA"/>
    <w:rsid w:val="00BC4854"/>
    <w:rsid w:val="00BD253F"/>
    <w:rsid w:val="00BE0358"/>
    <w:rsid w:val="00BE58D9"/>
    <w:rsid w:val="00C10162"/>
    <w:rsid w:val="00C1598B"/>
    <w:rsid w:val="00C15E7A"/>
    <w:rsid w:val="00C23353"/>
    <w:rsid w:val="00C27864"/>
    <w:rsid w:val="00C401E3"/>
    <w:rsid w:val="00C403FD"/>
    <w:rsid w:val="00C46850"/>
    <w:rsid w:val="00C46BCA"/>
    <w:rsid w:val="00C5246D"/>
    <w:rsid w:val="00C548A7"/>
    <w:rsid w:val="00C62A4B"/>
    <w:rsid w:val="00C70996"/>
    <w:rsid w:val="00C91086"/>
    <w:rsid w:val="00C94AB1"/>
    <w:rsid w:val="00CA6B67"/>
    <w:rsid w:val="00CB78C1"/>
    <w:rsid w:val="00CD134E"/>
    <w:rsid w:val="00CD1FD9"/>
    <w:rsid w:val="00CF48F5"/>
    <w:rsid w:val="00D04A3E"/>
    <w:rsid w:val="00D1143B"/>
    <w:rsid w:val="00D13A08"/>
    <w:rsid w:val="00D367AC"/>
    <w:rsid w:val="00D40EB0"/>
    <w:rsid w:val="00D436DF"/>
    <w:rsid w:val="00D54A69"/>
    <w:rsid w:val="00D54C4F"/>
    <w:rsid w:val="00D82EF9"/>
    <w:rsid w:val="00DA3BF9"/>
    <w:rsid w:val="00DA4AB0"/>
    <w:rsid w:val="00DA5CA2"/>
    <w:rsid w:val="00DB6A7D"/>
    <w:rsid w:val="00DD568F"/>
    <w:rsid w:val="00E00486"/>
    <w:rsid w:val="00E00A18"/>
    <w:rsid w:val="00E1217E"/>
    <w:rsid w:val="00E55FCD"/>
    <w:rsid w:val="00E807B6"/>
    <w:rsid w:val="00E92971"/>
    <w:rsid w:val="00EC22B5"/>
    <w:rsid w:val="00EE4EC8"/>
    <w:rsid w:val="00F02A4E"/>
    <w:rsid w:val="00F10E97"/>
    <w:rsid w:val="00F15844"/>
    <w:rsid w:val="00F227E4"/>
    <w:rsid w:val="00F247CB"/>
    <w:rsid w:val="00F317EB"/>
    <w:rsid w:val="00F4219C"/>
    <w:rsid w:val="00F62878"/>
    <w:rsid w:val="00F75368"/>
    <w:rsid w:val="00F764B8"/>
    <w:rsid w:val="00F9673F"/>
    <w:rsid w:val="00FA010D"/>
    <w:rsid w:val="00FC234E"/>
    <w:rsid w:val="00FE70F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65A525E"/>
  <w15:docId w15:val="{BEEB32ED-F1C8-4C08-A61E-61727250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34862"/>
    <w:pPr>
      <w:spacing w:after="0" w:line="280" w:lineRule="atLeast"/>
    </w:pPr>
    <w:rPr>
      <w:rFonts w:ascii="Arial" w:hAnsi="Arial"/>
      <w:sz w:val="20"/>
      <w:lang w:val="en-AU"/>
    </w:rPr>
  </w:style>
  <w:style w:type="paragraph" w:styleId="Heading1">
    <w:name w:val="heading 1"/>
    <w:next w:val="BodyText"/>
    <w:link w:val="Heading1Char"/>
    <w:qFormat/>
    <w:rsid w:val="007A483D"/>
    <w:pPr>
      <w:keepNext/>
      <w:keepLines/>
      <w:spacing w:before="113" w:after="0" w:line="280" w:lineRule="atLeast"/>
      <w:outlineLvl w:val="0"/>
    </w:pPr>
    <w:rPr>
      <w:rFonts w:ascii="Arial" w:eastAsiaTheme="majorEastAsia" w:hAnsi="Arial" w:cstheme="majorBidi"/>
      <w:b/>
      <w:bCs/>
      <w:sz w:val="20"/>
      <w:szCs w:val="28"/>
      <w:lang w:val="en-AU"/>
    </w:rPr>
  </w:style>
  <w:style w:type="paragraph" w:styleId="Heading2">
    <w:name w:val="heading 2"/>
    <w:next w:val="BodyText"/>
    <w:link w:val="Heading2Char"/>
    <w:qFormat/>
    <w:rsid w:val="007A483D"/>
    <w:pPr>
      <w:keepNext/>
      <w:keepLines/>
      <w:spacing w:before="113" w:after="0" w:line="280" w:lineRule="atLeast"/>
      <w:outlineLvl w:val="1"/>
    </w:pPr>
    <w:rPr>
      <w:rFonts w:ascii="Arial" w:eastAsiaTheme="majorEastAsia" w:hAnsi="Arial" w:cstheme="majorBidi"/>
      <w:bCs/>
      <w:i/>
      <w:sz w:val="20"/>
      <w:szCs w:val="26"/>
      <w:lang w:val="en-AU"/>
    </w:rPr>
  </w:style>
  <w:style w:type="paragraph" w:styleId="Heading3">
    <w:name w:val="heading 3"/>
    <w:basedOn w:val="Normal"/>
    <w:next w:val="Normal"/>
    <w:link w:val="Heading3Char"/>
    <w:uiPriority w:val="9"/>
    <w:semiHidden/>
    <w:qFormat/>
    <w:rsid w:val="008C78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6E48CB"/>
    <w:rPr>
      <w:rFonts w:ascii="Arial" w:eastAsiaTheme="majorEastAsia" w:hAnsi="Arial" w:cstheme="majorBidi"/>
      <w:bCs/>
      <w:i/>
      <w:sz w:val="20"/>
      <w:szCs w:val="26"/>
      <w:lang w:val="en-AU"/>
    </w:rPr>
  </w:style>
  <w:style w:type="paragraph" w:styleId="Quote">
    <w:name w:val="Quote"/>
    <w:link w:val="QuoteChar"/>
    <w:qFormat/>
    <w:rsid w:val="007A483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99"/>
    <w:semiHidden/>
    <w:rsid w:val="007A483D"/>
    <w:pPr>
      <w:tabs>
        <w:tab w:val="center" w:pos="4680"/>
        <w:tab w:val="right" w:pos="9360"/>
      </w:tabs>
      <w:spacing w:after="0" w:line="236" w:lineRule="exact"/>
    </w:pPr>
    <w:rPr>
      <w:rFonts w:ascii="Arial" w:hAnsi="Arial"/>
      <w:sz w:val="18"/>
    </w:rPr>
  </w:style>
  <w:style w:type="character" w:customStyle="1" w:styleId="FooterChar">
    <w:name w:val="Footer Char"/>
    <w:basedOn w:val="DefaultParagraphFont"/>
    <w:link w:val="Footer"/>
    <w:uiPriority w:val="99"/>
    <w:semiHidden/>
    <w:rsid w:val="00365B39"/>
    <w:rPr>
      <w:rFonts w:ascii="Arial" w:hAnsi="Arial"/>
      <w:sz w:val="18"/>
    </w:rPr>
  </w:style>
  <w:style w:type="paragraph" w:styleId="ListBullet">
    <w:name w:val="List Bullet"/>
    <w:basedOn w:val="BodyText"/>
    <w:qFormat/>
    <w:rsid w:val="007A483D"/>
    <w:pPr>
      <w:numPr>
        <w:numId w:val="3"/>
      </w:numPr>
    </w:pPr>
  </w:style>
  <w:style w:type="paragraph" w:styleId="ListBullet2">
    <w:name w:val="List Bullet 2"/>
    <w:basedOn w:val="BodyText"/>
    <w:qFormat/>
    <w:rsid w:val="007A483D"/>
    <w:pPr>
      <w:numPr>
        <w:ilvl w:val="1"/>
        <w:numId w:val="3"/>
      </w:numPr>
    </w:pPr>
  </w:style>
  <w:style w:type="paragraph" w:styleId="ListNumber">
    <w:name w:val="List Number"/>
    <w:basedOn w:val="BodyText"/>
    <w:link w:val="ListNumberChar"/>
    <w:qFormat/>
    <w:rsid w:val="007A483D"/>
    <w:pPr>
      <w:numPr>
        <w:numId w:val="4"/>
      </w:numPr>
      <w:tabs>
        <w:tab w:val="left" w:pos="567"/>
      </w:tabs>
    </w:pPr>
  </w:style>
  <w:style w:type="paragraph" w:styleId="ListParagraph">
    <w:name w:val="List Paragraph"/>
    <w:basedOn w:val="Normal"/>
    <w:uiPriority w:val="34"/>
    <w:qFormat/>
    <w:rsid w:val="007A483D"/>
    <w:pPr>
      <w:ind w:left="720"/>
      <w:contextualSpacing/>
    </w:pPr>
  </w:style>
  <w:style w:type="paragraph" w:styleId="ListNumber2">
    <w:name w:val="List Number 2"/>
    <w:basedOn w:val="BodyText"/>
    <w:qFormat/>
    <w:rsid w:val="007A483D"/>
    <w:pPr>
      <w:numPr>
        <w:ilvl w:val="1"/>
        <w:numId w:val="4"/>
      </w:numPr>
    </w:pPr>
  </w:style>
  <w:style w:type="paragraph" w:styleId="ListNumber3">
    <w:name w:val="List Number 3"/>
    <w:basedOn w:val="Normal"/>
    <w:uiPriority w:val="99"/>
    <w:semiHidden/>
    <w:rsid w:val="007A483D"/>
    <w:pPr>
      <w:numPr>
        <w:ilvl w:val="2"/>
        <w:numId w:val="4"/>
      </w:numPr>
      <w:contextualSpacing/>
    </w:pPr>
  </w:style>
  <w:style w:type="numbering" w:customStyle="1" w:styleId="Numberedlist">
    <w:name w:val="Numbered list"/>
    <w:uiPriority w:val="99"/>
    <w:rsid w:val="007A483D"/>
    <w:pPr>
      <w:numPr>
        <w:numId w:val="1"/>
      </w:numPr>
    </w:pPr>
  </w:style>
  <w:style w:type="paragraph" w:styleId="ListBullet3">
    <w:name w:val="List Bullet 3"/>
    <w:basedOn w:val="Normal"/>
    <w:uiPriority w:val="99"/>
    <w:semiHidden/>
    <w:rsid w:val="007A483D"/>
    <w:pPr>
      <w:numPr>
        <w:ilvl w:val="2"/>
        <w:numId w:val="3"/>
      </w:numPr>
      <w:contextualSpacing/>
    </w:pPr>
  </w:style>
  <w:style w:type="paragraph" w:styleId="Header">
    <w:name w:val="header"/>
    <w:basedOn w:val="Normal"/>
    <w:link w:val="HeaderChar"/>
    <w:uiPriority w:val="99"/>
    <w:semiHidden/>
    <w:rsid w:val="007A48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5B39"/>
    <w:rPr>
      <w:rFonts w:ascii="Arial" w:hAnsi="Arial"/>
      <w:sz w:val="20"/>
      <w:lang w:val="en-AU"/>
    </w:rPr>
  </w:style>
  <w:style w:type="paragraph" w:styleId="BalloonText">
    <w:name w:val="Balloon Text"/>
    <w:basedOn w:val="Normal"/>
    <w:link w:val="BalloonTextChar"/>
    <w:uiPriority w:val="99"/>
    <w:semiHidden/>
    <w:rsid w:val="002B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rsid w:val="007A483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rsid w:val="006E48CB"/>
    <w:rPr>
      <w:rFonts w:ascii="Arial" w:eastAsiaTheme="majorEastAsia" w:hAnsi="Arial" w:cstheme="majorBidi"/>
      <w:caps/>
      <w:kern w:val="28"/>
      <w:sz w:val="28"/>
      <w:szCs w:val="52"/>
      <w:lang w:val="en-AU"/>
    </w:rPr>
  </w:style>
  <w:style w:type="table" w:styleId="TableGrid">
    <w:name w:val="Table Grid"/>
    <w:basedOn w:val="TableNormal"/>
    <w:uiPriority w:val="59"/>
    <w:rsid w:val="007A4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
    <w:name w:val="Bullets"/>
    <w:basedOn w:val="NoList"/>
    <w:uiPriority w:val="99"/>
    <w:rsid w:val="007A483D"/>
    <w:pPr>
      <w:numPr>
        <w:numId w:val="2"/>
      </w:numPr>
    </w:pPr>
  </w:style>
  <w:style w:type="character" w:styleId="Hyperlink">
    <w:name w:val="Hyperlink"/>
    <w:basedOn w:val="DefaultParagraphFont"/>
    <w:uiPriority w:val="99"/>
    <w:rsid w:val="007A483D"/>
    <w:rPr>
      <w:color w:val="0000FF" w:themeColor="hyperlink"/>
      <w:u w:val="single"/>
    </w:rPr>
  </w:style>
  <w:style w:type="paragraph" w:customStyle="1" w:styleId="DraftingNote">
    <w:name w:val="Drafting Note"/>
    <w:link w:val="DraftingNoteChar"/>
    <w:qFormat/>
    <w:rsid w:val="007A483D"/>
    <w:pPr>
      <w:spacing w:after="113" w:line="240" w:lineRule="atLeast"/>
    </w:pPr>
    <w:rPr>
      <w:rFonts w:ascii="Arial" w:hAnsi="Arial"/>
      <w:b/>
      <w:i/>
      <w:color w:val="FF0000"/>
      <w:sz w:val="20"/>
      <w:lang w:val="en-AU"/>
    </w:rPr>
  </w:style>
  <w:style w:type="paragraph" w:customStyle="1" w:styleId="DocumentType">
    <w:name w:val="Document Type"/>
    <w:next w:val="BodyText"/>
    <w:rsid w:val="007A483D"/>
    <w:pPr>
      <w:spacing w:after="0"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rsid w:val="007A483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rsid w:val="006E48CB"/>
    <w:rPr>
      <w:rFonts w:ascii="Arial" w:eastAsiaTheme="majorEastAsia" w:hAnsi="Arial" w:cstheme="majorBidi"/>
      <w:iCs/>
      <w:spacing w:val="15"/>
      <w:sz w:val="24"/>
      <w:szCs w:val="24"/>
      <w:lang w:val="en-AU"/>
    </w:rPr>
  </w:style>
  <w:style w:type="paragraph" w:customStyle="1" w:styleId="Labels">
    <w:name w:val="Labels"/>
    <w:semiHidden/>
    <w:rsid w:val="007A483D"/>
    <w:pPr>
      <w:spacing w:after="0"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7A483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7A483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835F2D"/>
    <w:pPr>
      <w:spacing w:before="200"/>
    </w:pPr>
    <w:rPr>
      <w:lang w:val="en-US"/>
    </w:rPr>
  </w:style>
  <w:style w:type="paragraph" w:customStyle="1" w:styleId="OfficialUseOnly">
    <w:name w:val="Official Use Only"/>
    <w:next w:val="BodyText"/>
    <w:semiHidden/>
    <w:qFormat/>
    <w:rsid w:val="00E00486"/>
    <w:pPr>
      <w:spacing w:after="0"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7A483D"/>
    <w:rPr>
      <w:sz w:val="16"/>
      <w:szCs w:val="16"/>
    </w:rPr>
  </w:style>
  <w:style w:type="paragraph" w:styleId="CommentText">
    <w:name w:val="annotation text"/>
    <w:basedOn w:val="Normal"/>
    <w:link w:val="CommentTextChar"/>
    <w:uiPriority w:val="99"/>
    <w:semiHidden/>
    <w:rsid w:val="007A483D"/>
    <w:pPr>
      <w:spacing w:line="240" w:lineRule="auto"/>
    </w:pPr>
    <w:rPr>
      <w:szCs w:val="20"/>
    </w:rPr>
  </w:style>
  <w:style w:type="character" w:customStyle="1" w:styleId="CommentTextChar">
    <w:name w:val="Comment Text Char"/>
    <w:basedOn w:val="DefaultParagraphFont"/>
    <w:link w:val="CommentText"/>
    <w:uiPriority w:val="99"/>
    <w:semiHidden/>
    <w:rsid w:val="001C533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A483D"/>
    <w:rPr>
      <w:b/>
      <w:bCs/>
    </w:rPr>
  </w:style>
  <w:style w:type="character" w:customStyle="1" w:styleId="CommentSubjectChar">
    <w:name w:val="Comment Subject Char"/>
    <w:basedOn w:val="CommentTextChar"/>
    <w:link w:val="CommentSubject"/>
    <w:uiPriority w:val="99"/>
    <w:semiHidden/>
    <w:rsid w:val="001C5332"/>
    <w:rPr>
      <w:rFonts w:ascii="Arial" w:hAnsi="Arial"/>
      <w:b/>
      <w:bCs/>
      <w:sz w:val="20"/>
      <w:szCs w:val="20"/>
      <w:lang w:val="en-AU"/>
    </w:rPr>
  </w:style>
  <w:style w:type="character" w:styleId="PlaceholderText">
    <w:name w:val="Placeholder Text"/>
    <w:basedOn w:val="DefaultParagraphFont"/>
    <w:uiPriority w:val="99"/>
    <w:semiHidden/>
    <w:rsid w:val="00D13A08"/>
    <w:rPr>
      <w:color w:val="808080"/>
    </w:rPr>
  </w:style>
  <w:style w:type="character" w:customStyle="1" w:styleId="Heading3Char">
    <w:name w:val="Heading 3 Char"/>
    <w:basedOn w:val="DefaultParagraphFont"/>
    <w:link w:val="Heading3"/>
    <w:uiPriority w:val="9"/>
    <w:semiHidden/>
    <w:rsid w:val="008C7872"/>
    <w:rPr>
      <w:rFonts w:asciiTheme="majorHAnsi" w:eastAsiaTheme="majorEastAsia" w:hAnsiTheme="majorHAnsi" w:cstheme="majorBidi"/>
      <w:b/>
      <w:bCs/>
      <w:color w:val="4F81BD" w:themeColor="accent1"/>
      <w:sz w:val="20"/>
      <w:lang w:val="en-AU"/>
    </w:rPr>
  </w:style>
  <w:style w:type="paragraph" w:styleId="TOC1">
    <w:name w:val="toc 1"/>
    <w:basedOn w:val="Heading2"/>
    <w:next w:val="BodyText"/>
    <w:autoRedefine/>
    <w:uiPriority w:val="39"/>
    <w:rsid w:val="00963AE3"/>
    <w:pPr>
      <w:spacing w:after="100"/>
    </w:pPr>
    <w:rPr>
      <w:bCs w:val="0"/>
      <w:lang w:val="en-GB"/>
    </w:rPr>
  </w:style>
  <w:style w:type="paragraph" w:styleId="TOC2">
    <w:name w:val="toc 2"/>
    <w:basedOn w:val="BodyText"/>
    <w:next w:val="BodyText"/>
    <w:autoRedefine/>
    <w:uiPriority w:val="39"/>
    <w:rsid w:val="00AF47E0"/>
    <w:pPr>
      <w:spacing w:after="100"/>
      <w:contextualSpacing/>
    </w:pPr>
  </w:style>
  <w:style w:type="paragraph" w:customStyle="1" w:styleId="Heading-NLA">
    <w:name w:val="Heading - NLA"/>
    <w:next w:val="Normal"/>
    <w:qFormat/>
    <w:rsid w:val="00990F24"/>
    <w:pPr>
      <w:numPr>
        <w:numId w:val="7"/>
      </w:numPr>
      <w:spacing w:after="120" w:line="240" w:lineRule="auto"/>
    </w:pPr>
    <w:rPr>
      <w:rFonts w:ascii="Arial" w:eastAsia="Times New Roman" w:hAnsi="Arial" w:cs="Times New Roman"/>
      <w:sz w:val="20"/>
      <w:szCs w:val="24"/>
      <w:lang w:val="en-AU" w:eastAsia="en-AU"/>
    </w:rPr>
  </w:style>
  <w:style w:type="numbering" w:customStyle="1" w:styleId="Numbering-NLA">
    <w:name w:val="Numbering - NLA"/>
    <w:uiPriority w:val="99"/>
    <w:rsid w:val="00990F24"/>
    <w:pPr>
      <w:numPr>
        <w:numId w:val="6"/>
      </w:numPr>
    </w:pPr>
  </w:style>
  <w:style w:type="paragraph" w:styleId="Date">
    <w:name w:val="Date"/>
    <w:basedOn w:val="Normal"/>
    <w:next w:val="Normal"/>
    <w:link w:val="DateChar"/>
    <w:uiPriority w:val="99"/>
    <w:semiHidden/>
    <w:rsid w:val="00990F24"/>
  </w:style>
  <w:style w:type="character" w:customStyle="1" w:styleId="DateChar">
    <w:name w:val="Date Char"/>
    <w:basedOn w:val="DefaultParagraphFont"/>
    <w:link w:val="Date"/>
    <w:uiPriority w:val="99"/>
    <w:semiHidden/>
    <w:rsid w:val="00990F24"/>
    <w:rPr>
      <w:rFonts w:ascii="Arial" w:hAnsi="Arial"/>
      <w:sz w:val="20"/>
      <w:lang w:val="en-AU"/>
    </w:rPr>
  </w:style>
  <w:style w:type="paragraph" w:customStyle="1" w:styleId="Content1">
    <w:name w:val="Content1"/>
    <w:basedOn w:val="ListNumber"/>
    <w:link w:val="Content1Char"/>
    <w:qFormat/>
    <w:rsid w:val="003D6294"/>
    <w:pPr>
      <w:numPr>
        <w:ilvl w:val="1"/>
        <w:numId w:val="8"/>
      </w:numPr>
      <w:spacing w:before="120" w:after="120"/>
    </w:pPr>
  </w:style>
  <w:style w:type="character" w:customStyle="1" w:styleId="ListNumberChar">
    <w:name w:val="List Number Char"/>
    <w:basedOn w:val="BodyTextChar"/>
    <w:link w:val="ListNumber"/>
    <w:rsid w:val="003D6294"/>
    <w:rPr>
      <w:rFonts w:ascii="Arial" w:hAnsi="Arial"/>
      <w:sz w:val="20"/>
      <w:lang w:val="en-AU"/>
    </w:rPr>
  </w:style>
  <w:style w:type="character" w:customStyle="1" w:styleId="Content1Char">
    <w:name w:val="Content1 Char"/>
    <w:basedOn w:val="ListNumberChar"/>
    <w:link w:val="Content1"/>
    <w:rsid w:val="003D6294"/>
    <w:rPr>
      <w:rFonts w:ascii="Arial" w:hAnsi="Arial"/>
      <w:sz w:val="20"/>
      <w:lang w:val="en-AU"/>
    </w:rPr>
  </w:style>
  <w:style w:type="character" w:styleId="UnresolvedMention">
    <w:name w:val="Unresolved Mention"/>
    <w:basedOn w:val="DefaultParagraphFont"/>
    <w:uiPriority w:val="99"/>
    <w:semiHidden/>
    <w:unhideWhenUsed/>
    <w:rsid w:val="00665845"/>
    <w:rPr>
      <w:color w:val="605E5C"/>
      <w:shd w:val="clear" w:color="auto" w:fill="E1DFDD"/>
    </w:rPr>
  </w:style>
  <w:style w:type="character" w:styleId="FollowedHyperlink">
    <w:name w:val="FollowedHyperlink"/>
    <w:basedOn w:val="DefaultParagraphFont"/>
    <w:uiPriority w:val="99"/>
    <w:semiHidden/>
    <w:unhideWhenUsed/>
    <w:rsid w:val="00D54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nla.gov.au/sites/default/files/WHSMS%20-%20August%202019%20PDF_0.pdf"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safeworkaustralia.gov.au/system/files/documents/1901/code_of_practice_-_how_to_manage_work_health_and_safety_risks_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workaustralia.gov.au/doc/essential-guide-work-health-and-safety-volunt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workaustralia.gov.au/doc/essential-guide-work-health-and-safety-volunteers" TargetMode="External"/><Relationship Id="rId5" Type="http://schemas.openxmlformats.org/officeDocument/2006/relationships/settings" Target="settings.xml"/><Relationship Id="rId15" Type="http://schemas.openxmlformats.org/officeDocument/2006/relationships/hyperlink" Target="https://www.volunteeringaustralia.org/policy/national-standards-and-supporting-material/" TargetMode="External"/><Relationship Id="rId10" Type="http://schemas.openxmlformats.org/officeDocument/2006/relationships/hyperlink" Target="http://www.nla.gov.au/policy-and-planning/privacy-polic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finance.gov.au/government/comcover/insurance" TargetMode="External"/><Relationship Id="rId14" Type="http://schemas.openxmlformats.org/officeDocument/2006/relationships/hyperlink" Target="https://www.safeworkaustralia.gov.au/sites/default/files/2021-01/Model-WHS-Regulations-1January2021.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ilbo\public$\PERM\Template\WORD\HR\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8735246AB4239AA1FCD9662ACFB0B"/>
        <w:category>
          <w:name w:val="General"/>
          <w:gallery w:val="placeholder"/>
        </w:category>
        <w:types>
          <w:type w:val="bbPlcHdr"/>
        </w:types>
        <w:behaviors>
          <w:behavior w:val="content"/>
        </w:behaviors>
        <w:guid w:val="{E8317E9C-4AA2-44DC-B82D-39CB2B268E4B}"/>
      </w:docPartPr>
      <w:docPartBody>
        <w:p w:rsidR="00440E4C" w:rsidRDefault="00440E4C">
          <w:pPr>
            <w:pStyle w:val="3BC8735246AB4239AA1FCD9662ACFB0B"/>
          </w:pPr>
          <w:r w:rsidRPr="000D2B0B">
            <w:rPr>
              <w:rStyle w:val="PlaceholderText"/>
            </w:rPr>
            <w:t>[Title]</w:t>
          </w:r>
        </w:p>
      </w:docPartBody>
    </w:docPart>
    <w:docPart>
      <w:docPartPr>
        <w:name w:val="4A3981F24A8C43B391EB971DA1D634F8"/>
        <w:category>
          <w:name w:val="General"/>
          <w:gallery w:val="placeholder"/>
        </w:category>
        <w:types>
          <w:type w:val="bbPlcHdr"/>
        </w:types>
        <w:behaviors>
          <w:behavior w:val="content"/>
        </w:behaviors>
        <w:guid w:val="{25DE2C51-B8AF-4AD6-995C-B64FB0CEB209}"/>
      </w:docPartPr>
      <w:docPartBody>
        <w:p w:rsidR="00440E4C" w:rsidRDefault="00440E4C">
          <w:pPr>
            <w:pStyle w:val="4A3981F24A8C43B391EB971DA1D634F8"/>
          </w:pPr>
          <w:r w:rsidRPr="000D2B0B">
            <w:rPr>
              <w:rStyle w:val="PlaceholderText"/>
            </w:rPr>
            <w:t>[Subtitle]</w:t>
          </w:r>
        </w:p>
      </w:docPartBody>
    </w:docPart>
    <w:docPart>
      <w:docPartPr>
        <w:name w:val="31352889EDB74145A777BB8E3BEFAAEF"/>
        <w:category>
          <w:name w:val="General"/>
          <w:gallery w:val="placeholder"/>
        </w:category>
        <w:types>
          <w:type w:val="bbPlcHdr"/>
        </w:types>
        <w:behaviors>
          <w:behavior w:val="content"/>
        </w:behaviors>
        <w:guid w:val="{153EE2AF-E4E4-467C-86A2-FFCA1F8B43FC}"/>
      </w:docPartPr>
      <w:docPartBody>
        <w:p w:rsidR="00440E4C" w:rsidRDefault="00440E4C">
          <w:pPr>
            <w:pStyle w:val="31352889EDB74145A777BB8E3BEFAAEF"/>
          </w:pPr>
          <w:r>
            <w:rPr>
              <w:rStyle w:val="PlaceholderText"/>
            </w:rPr>
            <w:t>[Author name]</w:t>
          </w:r>
        </w:p>
      </w:docPartBody>
    </w:docPart>
    <w:docPart>
      <w:docPartPr>
        <w:name w:val="0E7ECF7F11AA47BA969D534E214A2F43"/>
        <w:category>
          <w:name w:val="General"/>
          <w:gallery w:val="placeholder"/>
        </w:category>
        <w:types>
          <w:type w:val="bbPlcHdr"/>
        </w:types>
        <w:behaviors>
          <w:behavior w:val="content"/>
        </w:behaviors>
        <w:guid w:val="{50F92DA5-CD0B-4FC8-9F57-61532C789593}"/>
      </w:docPartPr>
      <w:docPartBody>
        <w:p w:rsidR="00440E4C" w:rsidRDefault="00440E4C">
          <w:pPr>
            <w:pStyle w:val="0E7ECF7F11AA47BA969D534E214A2F43"/>
          </w:pPr>
          <w:r>
            <w:rPr>
              <w:rStyle w:val="PlaceholderText"/>
            </w:rPr>
            <w:t>[Author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ollo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4C"/>
    <w:rsid w:val="00440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C8735246AB4239AA1FCD9662ACFB0B">
    <w:name w:val="3BC8735246AB4239AA1FCD9662ACFB0B"/>
  </w:style>
  <w:style w:type="paragraph" w:customStyle="1" w:styleId="4A3981F24A8C43B391EB971DA1D634F8">
    <w:name w:val="4A3981F24A8C43B391EB971DA1D634F8"/>
  </w:style>
  <w:style w:type="paragraph" w:customStyle="1" w:styleId="31352889EDB74145A777BB8E3BEFAAEF">
    <w:name w:val="31352889EDB74145A777BB8E3BEFAAEF"/>
  </w:style>
  <w:style w:type="paragraph" w:customStyle="1" w:styleId="0E7ECF7F11AA47BA969D534E214A2F43">
    <w:name w:val="0E7ECF7F11AA47BA969D534E214A2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AD7E6-2193-4274-B289-4D9B1FFE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13</Pages>
  <Words>3270</Words>
  <Characters>18645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ONSITE VOLUNTEER PROGRAM POLICY</vt:lpstr>
    </vt:vector>
  </TitlesOfParts>
  <Company>National Library of Australia</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VOLUNTEER PROGRAM POLICY</dc:title>
  <dc:subject>Volunteer Program/ Engagement/Exhibitions</dc:subject>
  <dc:creator>Rebecca Watson</dc:creator>
  <cp:lastModifiedBy>Katherine Crane</cp:lastModifiedBy>
  <cp:revision>2</cp:revision>
  <dcterms:created xsi:type="dcterms:W3CDTF">2021-04-19T04:40:00Z</dcterms:created>
  <dcterms:modified xsi:type="dcterms:W3CDTF">2021-04-19T04:40:00Z</dcterms:modified>
  <cp:category>Template</cp:category>
</cp:coreProperties>
</file>